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bookmarkStart w:id="0" w:name="_GoBack"/>
      <w:bookmarkEnd w:id="0"/>
      <w:r>
        <w:tab/>
      </w:r>
    </w:p>
    <w:p w:rsidR="00655134" w:rsidRPr="00655134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Pr="00655134">
        <w:rPr>
          <w:rFonts w:ascii="Times New Roman" w:eastAsia="Times New Roman" w:hAnsi="Times New Roman" w:cs="Times New Roman"/>
          <w:lang w:val="sr-Cyrl-RS"/>
        </w:rPr>
        <w:t>чл.  21. Одлуке о Градском већу града Прокупља („Службени лист града Прокупља“ број 2/18), Градско веће града Прокупља на седници дана 13.03.2019. године, донело је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морају реализовати на територији града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gramStart"/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невладиних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бр. 06-22/2019-02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датум:13.03.2019. године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ГРАДСКОГ ВЕЋА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Александар Симоновић</w:t>
      </w: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655134"/>
    <w:rsid w:val="009663B8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2019-10-03T06:47:00Z</dcterms:created>
  <dcterms:modified xsi:type="dcterms:W3CDTF">2019-10-03T06:47:00Z</dcterms:modified>
</cp:coreProperties>
</file>