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E28FE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86D3D">
              <w:rPr>
                <w:b/>
                <w:noProof/>
                <w:sz w:val="25"/>
                <w:szCs w:val="25"/>
                <w:lang w:val="sr-Latn-RS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A86D3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E28FE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7A0CCE" w:rsidRDefault="007A0CCE" w:rsidP="006C50D2"/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РЕПУБЛИКА СРБИЈА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ГРАД ПРОКУПЉЕ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ГРАДСКА УПРАВА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Одељење за урбанизам, стамбено-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комуналне делатности и грађевинарство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БРОЈ: 501-119/2020-05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ДАТУМ: 13.11.2020. године</w:t>
      </w:r>
    </w:p>
    <w:p w:rsidR="00A86D3D" w:rsidRPr="00D42212" w:rsidRDefault="00A86D3D" w:rsidP="00A86D3D">
      <w:pPr>
        <w:rPr>
          <w:lang w:val="sr-Cyrl-RS"/>
        </w:rPr>
      </w:pPr>
      <w:r w:rsidRPr="00D42212">
        <w:rPr>
          <w:lang w:val="sr-Cyrl-RS"/>
        </w:rPr>
        <w:t>П Р О К У П Љ Е</w:t>
      </w:r>
    </w:p>
    <w:p w:rsidR="00A86D3D" w:rsidRPr="00D42212" w:rsidRDefault="00A86D3D" w:rsidP="00A86D3D">
      <w:pPr>
        <w:tabs>
          <w:tab w:val="left" w:pos="1980"/>
        </w:tabs>
        <w:rPr>
          <w:lang w:val="sr-Cyrl-RS"/>
        </w:rPr>
      </w:pPr>
      <w:r w:rsidRPr="00D42212">
        <w:rPr>
          <w:lang w:val="sr-Cyrl-RS"/>
        </w:rPr>
        <w:tab/>
      </w:r>
    </w:p>
    <w:p w:rsidR="00A86D3D" w:rsidRPr="00D42212" w:rsidRDefault="00A86D3D" w:rsidP="00A86D3D">
      <w:pPr>
        <w:rPr>
          <w:lang w:val="sr-Cyrl-RS"/>
        </w:rPr>
      </w:pPr>
    </w:p>
    <w:p w:rsidR="00A86D3D" w:rsidRDefault="00A86D3D" w:rsidP="00A86D3D">
      <w:pPr>
        <w:tabs>
          <w:tab w:val="left" w:pos="567"/>
        </w:tabs>
        <w:jc w:val="both"/>
        <w:rPr>
          <w:lang w:val="sr-Cyrl-RS"/>
        </w:rPr>
      </w:pPr>
      <w:r w:rsidRPr="00D42212">
        <w:rPr>
          <w:lang w:val="sr-Cyrl-RS"/>
        </w:rPr>
        <w:t xml:space="preserve">            На основу члана 54. Закона о заштити природе („Службени гласник РС“, бр. 36/2009, 88/2010, 91/2010 – исправка, 14/2016 и 95/2018 – др. закон), Мишљења За</w:t>
      </w:r>
      <w:r>
        <w:rPr>
          <w:lang w:val="sr-Cyrl-RS"/>
        </w:rPr>
        <w:t xml:space="preserve">вода за заштиту природе Србије, </w:t>
      </w:r>
      <w:r w:rsidRPr="00D42212">
        <w:rPr>
          <w:lang w:val="sr-Cyrl-RS"/>
        </w:rPr>
        <w:t>бр. 020-1324/4 од 22.09.2020. године и члана 74. Статута</w:t>
      </w:r>
      <w:r>
        <w:rPr>
          <w:lang w:val="sr-Cyrl-RS"/>
        </w:rPr>
        <w:t xml:space="preserve"> Града Прокупља</w:t>
      </w:r>
      <w:r w:rsidRPr="00D42212">
        <w:rPr>
          <w:lang w:val="sr-Cyrl-RS"/>
        </w:rPr>
        <w:t xml:space="preserve">                                         („Службени лист Општине Прокупље“, бр. 15/2018), Градска управа Града Прокупља доноси:</w:t>
      </w:r>
    </w:p>
    <w:p w:rsidR="00A86D3D" w:rsidRPr="00D42212" w:rsidRDefault="00A86D3D" w:rsidP="00A86D3D">
      <w:pPr>
        <w:tabs>
          <w:tab w:val="left" w:pos="567"/>
        </w:tabs>
        <w:jc w:val="both"/>
        <w:rPr>
          <w:lang w:val="sr-Cyrl-RS"/>
        </w:rPr>
      </w:pPr>
    </w:p>
    <w:p w:rsidR="00A86D3D" w:rsidRPr="00D42212" w:rsidRDefault="00A86D3D" w:rsidP="00A86D3D">
      <w:pPr>
        <w:jc w:val="both"/>
        <w:rPr>
          <w:lang w:val="sr-Cyrl-RS"/>
        </w:rPr>
      </w:pPr>
    </w:p>
    <w:p w:rsidR="00A86D3D" w:rsidRDefault="00A86D3D" w:rsidP="00A86D3D">
      <w:pPr>
        <w:jc w:val="center"/>
        <w:rPr>
          <w:lang w:val="sr-Cyrl-RS"/>
        </w:rPr>
      </w:pPr>
      <w:r w:rsidRPr="00D42212">
        <w:rPr>
          <w:lang w:val="sr-Cyrl-RS"/>
        </w:rPr>
        <w:t>Р Е Ш Е Њ Е</w:t>
      </w:r>
    </w:p>
    <w:p w:rsidR="00A86D3D" w:rsidRPr="00D42212" w:rsidRDefault="00A86D3D" w:rsidP="00A86D3D">
      <w:pPr>
        <w:jc w:val="center"/>
        <w:rPr>
          <w:lang w:val="sr-Cyrl-RS"/>
        </w:rPr>
      </w:pPr>
    </w:p>
    <w:p w:rsidR="00A86D3D" w:rsidRPr="00D42212" w:rsidRDefault="00A86D3D" w:rsidP="00A86D3D">
      <w:pPr>
        <w:jc w:val="both"/>
        <w:rPr>
          <w:lang w:val="sr-Cyrl-RS"/>
        </w:rPr>
      </w:pPr>
    </w:p>
    <w:p w:rsidR="00A86D3D" w:rsidRDefault="00A86D3D" w:rsidP="00A86D3D">
      <w:pPr>
        <w:pStyle w:val="ListParagraph"/>
        <w:tabs>
          <w:tab w:val="left" w:pos="567"/>
          <w:tab w:val="left" w:pos="709"/>
        </w:tabs>
        <w:ind w:left="0"/>
        <w:jc w:val="both"/>
      </w:pPr>
      <w:r w:rsidRPr="00D42212">
        <w:rPr>
          <w:lang w:val="sr-Cyrl-RS"/>
        </w:rPr>
        <w:t xml:space="preserve">           </w:t>
      </w:r>
      <w:proofErr w:type="gramStart"/>
      <w:r w:rsidRPr="00D42212">
        <w:t>I</w:t>
      </w:r>
      <w:r w:rsidRPr="00D42212">
        <w:rPr>
          <w:lang w:val="sr-Cyrl-RS"/>
        </w:rPr>
        <w:t xml:space="preserve"> ДАЈЕ СЕ сагласност на План управљања Спомеником природе “СТАБЛО ОРАХА“, КО Велика Плана, на катастарској парцели бр.</w:t>
      </w:r>
      <w:proofErr w:type="gramEnd"/>
      <w:r w:rsidRPr="00D42212">
        <w:rPr>
          <w:lang w:val="sr-Cyrl-RS"/>
        </w:rPr>
        <w:t xml:space="preserve"> 4315, чији је корисник ЈП „Србијашуме“ Београд, на територији града Прокупља, за период 2021. – 2030. године, који је донело Јавно предузеће за газдовање шумама „Србијашуме“ из Београда, бр. 13863 од 24.09.2020. године.</w:t>
      </w:r>
    </w:p>
    <w:p w:rsidR="00A86D3D" w:rsidRDefault="00A86D3D" w:rsidP="00A86D3D">
      <w:pPr>
        <w:pStyle w:val="ListParagraph"/>
        <w:tabs>
          <w:tab w:val="left" w:pos="567"/>
          <w:tab w:val="left" w:pos="709"/>
        </w:tabs>
        <w:ind w:left="0"/>
        <w:jc w:val="both"/>
      </w:pPr>
    </w:p>
    <w:p w:rsidR="00A86D3D" w:rsidRDefault="00A86D3D" w:rsidP="00A86D3D">
      <w:pPr>
        <w:pStyle w:val="ListParagraph"/>
        <w:tabs>
          <w:tab w:val="left" w:pos="567"/>
          <w:tab w:val="left" w:pos="709"/>
        </w:tabs>
        <w:ind w:left="0"/>
        <w:jc w:val="both"/>
      </w:pPr>
    </w:p>
    <w:p w:rsidR="00A86D3D" w:rsidRDefault="00A86D3D" w:rsidP="00A86D3D">
      <w:pPr>
        <w:pStyle w:val="ListParagraph"/>
        <w:tabs>
          <w:tab w:val="left" w:pos="567"/>
          <w:tab w:val="left" w:pos="709"/>
        </w:tabs>
        <w:ind w:left="0"/>
        <w:jc w:val="both"/>
      </w:pPr>
    </w:p>
    <w:p w:rsidR="00A86D3D" w:rsidRPr="00A86D3D" w:rsidRDefault="00A86D3D" w:rsidP="00A86D3D">
      <w:pPr>
        <w:pStyle w:val="ListParagraph"/>
        <w:tabs>
          <w:tab w:val="left" w:pos="567"/>
          <w:tab w:val="left" w:pos="709"/>
        </w:tabs>
        <w:ind w:left="0"/>
        <w:jc w:val="both"/>
      </w:pPr>
    </w:p>
    <w:p w:rsidR="00A86D3D" w:rsidRPr="00D42212" w:rsidRDefault="00A86D3D" w:rsidP="00A86D3D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         </w:t>
      </w:r>
    </w:p>
    <w:p w:rsidR="00A86D3D" w:rsidRDefault="00A86D3D" w:rsidP="00A86D3D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  <w:r w:rsidRPr="00D42212">
        <w:rPr>
          <w:lang w:val="sr-Cyrl-RS"/>
        </w:rPr>
        <w:lastRenderedPageBreak/>
        <w:t xml:space="preserve">            </w:t>
      </w:r>
      <w:proofErr w:type="gramStart"/>
      <w:r w:rsidRPr="00D42212">
        <w:t xml:space="preserve">II </w:t>
      </w:r>
      <w:r w:rsidRPr="00D42212">
        <w:rPr>
          <w:lang w:val="sr-Cyrl-RS"/>
        </w:rPr>
        <w:t>Решење објавити у „Службеном листу Града Прокупља“.</w:t>
      </w:r>
      <w:proofErr w:type="gramEnd"/>
    </w:p>
    <w:p w:rsidR="00A86D3D" w:rsidRDefault="00A86D3D" w:rsidP="00A86D3D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A86D3D" w:rsidRDefault="00A86D3D" w:rsidP="00A86D3D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A86D3D" w:rsidRDefault="00A86D3D" w:rsidP="00A86D3D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A86D3D" w:rsidRPr="00D42212" w:rsidRDefault="00A86D3D" w:rsidP="00A86D3D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Саветник на пословима процене </w:t>
      </w:r>
    </w:p>
    <w:p w:rsidR="00A86D3D" w:rsidRPr="00D42212" w:rsidRDefault="00A86D3D" w:rsidP="00A86D3D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  утицаја на животну средину</w:t>
      </w:r>
    </w:p>
    <w:p w:rsidR="00A86D3D" w:rsidRPr="00D42212" w:rsidRDefault="00A86D3D" w:rsidP="00A86D3D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   и праћење стања и заштита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 xml:space="preserve">      </w:t>
      </w:r>
      <w:r>
        <w:rPr>
          <w:lang w:val="sr-Cyrl-RS"/>
        </w:rPr>
        <w:t xml:space="preserve"> НАЧЕЛНИК</w:t>
      </w:r>
    </w:p>
    <w:p w:rsidR="00A86D3D" w:rsidRPr="00D42212" w:rsidRDefault="00A86D3D" w:rsidP="00A86D3D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и унапређење животне средине                                       </w:t>
      </w:r>
      <w:r>
        <w:rPr>
          <w:lang w:val="sr-Cyrl-RS"/>
        </w:rPr>
        <w:t xml:space="preserve">     </w:t>
      </w:r>
      <w:r w:rsidRPr="00D42212">
        <w:rPr>
          <w:lang w:val="sr-Cyrl-RS"/>
        </w:rPr>
        <w:t xml:space="preserve"> ГРАДСКЕ УПРАВЕ</w:t>
      </w:r>
    </w:p>
    <w:p w:rsidR="00A86D3D" w:rsidRPr="00D42212" w:rsidRDefault="00A86D3D" w:rsidP="00A86D3D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>дипл. хем. Светлана Момчиловић</w:t>
      </w:r>
      <w:r>
        <w:t xml:space="preserve"> </w:t>
      </w:r>
      <w:r>
        <w:rPr>
          <w:lang w:val="sr-Cyrl-RS"/>
        </w:rPr>
        <w:t>с.р</w:t>
      </w:r>
      <w:r w:rsidRPr="00D42212">
        <w:rPr>
          <w:lang w:val="sr-Cyrl-RS"/>
        </w:rPr>
        <w:t xml:space="preserve">                                          Невена Јовић</w:t>
      </w:r>
      <w:r>
        <w:rPr>
          <w:lang w:val="sr-Cyrl-RS"/>
        </w:rPr>
        <w:t xml:space="preserve"> с.р.</w:t>
      </w:r>
    </w:p>
    <w:p w:rsidR="00A86D3D" w:rsidRPr="00A86D3D" w:rsidRDefault="00A86D3D" w:rsidP="00A86D3D">
      <w:pPr>
        <w:pStyle w:val="ListParagraph"/>
        <w:ind w:left="0"/>
        <w:jc w:val="both"/>
      </w:pPr>
      <w:r w:rsidRPr="00D42212">
        <w:rPr>
          <w:lang w:val="sr-Cyrl-RS"/>
        </w:rPr>
        <w:t xml:space="preserve">                          </w:t>
      </w:r>
      <w:r>
        <w:rPr>
          <w:lang w:val="sr-Cyrl-RS"/>
        </w:rPr>
        <w:t xml:space="preserve">       </w:t>
      </w:r>
    </w:p>
    <w:p w:rsidR="00A86D3D" w:rsidRDefault="00A86D3D" w:rsidP="00A86D3D">
      <w:pPr>
        <w:pStyle w:val="ListParagraph"/>
        <w:ind w:left="0"/>
        <w:jc w:val="both"/>
        <w:rPr>
          <w:lang w:val="sr-Cyrl-RS"/>
        </w:rPr>
      </w:pPr>
    </w:p>
    <w:p w:rsidR="00A86D3D" w:rsidRPr="0040545A" w:rsidRDefault="00A86D3D" w:rsidP="00A86D3D">
      <w:pPr>
        <w:pStyle w:val="ListParagraph"/>
        <w:ind w:left="0"/>
        <w:jc w:val="both"/>
        <w:rPr>
          <w:lang w:val="sr-Cyrl-RS"/>
        </w:rPr>
      </w:pPr>
    </w:p>
    <w:p w:rsidR="00A86D3D" w:rsidRPr="00C41589" w:rsidRDefault="00A86D3D" w:rsidP="00A86D3D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Default="00A86D3D" w:rsidP="006C50D2"/>
    <w:p w:rsidR="00A86D3D" w:rsidRPr="00A86D3D" w:rsidRDefault="00A86D3D" w:rsidP="006C50D2"/>
    <w:p w:rsidR="00A86D3D" w:rsidRDefault="00A86D3D" w:rsidP="000B1483">
      <w:pPr>
        <w:jc w:val="center"/>
        <w:rPr>
          <w:b/>
          <w:i/>
          <w:sz w:val="63"/>
          <w:szCs w:val="63"/>
          <w:lang w:val="sr-Cyrl-CS"/>
        </w:rPr>
      </w:pPr>
    </w:p>
    <w:p w:rsidR="00A86D3D" w:rsidRDefault="00A86D3D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0B1483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6C50D2" w:rsidRDefault="00AA425D" w:rsidP="00EA2695">
      <w:pPr>
        <w:tabs>
          <w:tab w:val="left" w:pos="6000"/>
        </w:tabs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A86D3D">
        <w:rPr>
          <w:b/>
          <w:i/>
          <w:sz w:val="22"/>
          <w:szCs w:val="22"/>
          <w:lang w:val="sr-Cyrl-RS"/>
        </w:rPr>
        <w:t>Решење о давању сагласности на План управљања спомеником природе''Стабло ораха'' КО Велика Плана.................................................................................................................................1-2</w:t>
      </w:r>
      <w:bookmarkStart w:id="0" w:name="_GoBack"/>
      <w:bookmarkEnd w:id="0"/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9F" w:rsidRDefault="00D9519F" w:rsidP="00B755E5">
      <w:r>
        <w:separator/>
      </w:r>
    </w:p>
  </w:endnote>
  <w:endnote w:type="continuationSeparator" w:id="0">
    <w:p w:rsidR="00D9519F" w:rsidRDefault="00D9519F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9F" w:rsidRDefault="00D9519F" w:rsidP="00B755E5">
      <w:r>
        <w:separator/>
      </w:r>
    </w:p>
  </w:footnote>
  <w:footnote w:type="continuationSeparator" w:id="0">
    <w:p w:rsidR="00D9519F" w:rsidRDefault="00D9519F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86D3D">
          <w:rPr>
            <w:rFonts w:asciiTheme="minorHAnsi" w:hAnsiTheme="minorHAnsi"/>
            <w:i/>
            <w:sz w:val="21"/>
            <w:szCs w:val="21"/>
            <w:lang w:val="sr-Cyrl-RS"/>
          </w:rPr>
          <w:t>17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Новебар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86D3D">
      <w:rPr>
        <w:rFonts w:ascii="Times New Roman" w:hAnsi="Times New Roman"/>
        <w:sz w:val="21"/>
        <w:szCs w:val="21"/>
        <w:lang w:val="en-US"/>
      </w:rPr>
      <w:t>5</w:t>
    </w:r>
    <w:r w:rsidR="00A86D3D">
      <w:rPr>
        <w:rFonts w:ascii="Times New Roman" w:hAnsi="Times New Roman"/>
        <w:sz w:val="21"/>
        <w:szCs w:val="21"/>
        <w:lang w:val="sr-Cyrl-RS"/>
      </w:rPr>
      <w:t>1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86D3D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4F1753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D576E7"/>
    <w:rsid w:val="00D6445F"/>
    <w:rsid w:val="00D9519F"/>
    <w:rsid w:val="00D96738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12F63"/>
    <w:rsid w:val="00682D2E"/>
    <w:rsid w:val="00690DA6"/>
    <w:rsid w:val="008F7114"/>
    <w:rsid w:val="009C0C4E"/>
    <w:rsid w:val="00D01855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FA2B-7C67-4B6C-A9DC-06F1E78D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Октобар  2020.                  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Новебар  2020.                  </dc:title>
  <dc:creator>Ivana Miladinović</dc:creator>
  <cp:lastModifiedBy>Ivana Miladinović</cp:lastModifiedBy>
  <cp:revision>53</cp:revision>
  <cp:lastPrinted>2020-09-28T06:37:00Z</cp:lastPrinted>
  <dcterms:created xsi:type="dcterms:W3CDTF">2020-09-04T06:45:00Z</dcterms:created>
  <dcterms:modified xsi:type="dcterms:W3CDTF">2020-11-17T09:58:00Z</dcterms:modified>
</cp:coreProperties>
</file>