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BD" w:rsidRDefault="00EC4BD2" w:rsidP="001F55F6">
      <w:pPr>
        <w:spacing w:before="120" w:after="120"/>
        <w:rPr>
          <w:rFonts w:ascii="Calibri" w:eastAsia="Calibri" w:hAnsi="Calibri" w:cs="Calibri"/>
          <w:b/>
          <w:w w:val="100"/>
          <w:sz w:val="20"/>
          <w:szCs w:val="20"/>
        </w:rPr>
      </w:pPr>
      <w:bookmarkStart w:id="0" w:name="21"/>
      <w:bookmarkStart w:id="1" w:name="_Hlk32839505"/>
      <w:bookmarkStart w:id="2" w:name="_GoBack"/>
      <w:bookmarkEnd w:id="0"/>
      <w:bookmarkEnd w:id="2"/>
      <w:r>
        <w:rPr>
          <w:rFonts w:ascii="Calibri" w:eastAsia="Calibri" w:hAnsi="Calibri" w:cs="Calibri"/>
          <w:b/>
          <w:w w:val="100"/>
          <w:sz w:val="20"/>
          <w:szCs w:val="20"/>
        </w:rPr>
        <w:t>ГРАДСКА УПРАВА ГРАДА ПРОКУПЉА</w:t>
      </w:r>
    </w:p>
    <w:p w:rsidR="001F55F6" w:rsidRPr="001F55F6" w:rsidRDefault="00EC4BD2" w:rsidP="001F55F6">
      <w:pPr>
        <w:spacing w:before="120" w:after="120"/>
        <w:rPr>
          <w:rFonts w:ascii="Calibri" w:eastAsia="Calibri" w:hAnsi="Calibri" w:cs="Calibri"/>
          <w:b/>
          <w:w w:val="100"/>
          <w:sz w:val="20"/>
          <w:szCs w:val="20"/>
        </w:rPr>
      </w:pPr>
      <w:r>
        <w:rPr>
          <w:rFonts w:cstheme="minorHAnsi"/>
          <w:b/>
          <w:sz w:val="20"/>
          <w:szCs w:val="20"/>
        </w:rPr>
        <w:t>ПИБ:</w:t>
      </w:r>
      <w:r w:rsidR="002A1737" w:rsidRPr="00191039">
        <w:rPr>
          <w:rFonts w:cstheme="minorHAnsi"/>
          <w:sz w:val="20"/>
          <w:szCs w:val="20"/>
        </w:rPr>
        <w:t> </w:t>
      </w:r>
      <w:bookmarkStart w:id="3" w:name="23"/>
      <w:bookmarkEnd w:id="3"/>
      <w:r w:rsidRPr="001F55F6">
        <w:rPr>
          <w:rFonts w:ascii="Calibri" w:eastAsia="Calibri" w:hAnsi="Calibri" w:cs="Calibri"/>
          <w:b/>
          <w:w w:val="100"/>
          <w:sz w:val="20"/>
          <w:szCs w:val="20"/>
        </w:rPr>
        <w:t>100506227</w:t>
      </w:r>
    </w:p>
    <w:p w:rsidR="001F55F6" w:rsidRPr="001F55F6" w:rsidRDefault="00EC4BD2" w:rsidP="001F55F6">
      <w:pPr>
        <w:spacing w:before="120" w:after="120"/>
        <w:rPr>
          <w:rFonts w:ascii="Calibri" w:eastAsia="Calibri" w:hAnsi="Calibri" w:cs="Calibri"/>
          <w:b/>
          <w:w w:val="100"/>
          <w:sz w:val="20"/>
          <w:szCs w:val="20"/>
        </w:rPr>
      </w:pPr>
      <w:bookmarkStart w:id="4" w:name="24"/>
      <w:bookmarkEnd w:id="4"/>
      <w:r w:rsidRPr="001F55F6">
        <w:rPr>
          <w:rFonts w:ascii="Calibri" w:eastAsia="Calibri" w:hAnsi="Calibri" w:cs="Calibri"/>
          <w:b/>
          <w:w w:val="100"/>
          <w:sz w:val="20"/>
          <w:szCs w:val="20"/>
        </w:rPr>
        <w:t>Никодија Стојановића Татка бр.2</w:t>
      </w:r>
    </w:p>
    <w:p w:rsidR="001F55F6" w:rsidRPr="001F55F6" w:rsidRDefault="00EC4BD2" w:rsidP="001F55F6">
      <w:pPr>
        <w:spacing w:before="120" w:after="120"/>
        <w:rPr>
          <w:rFonts w:ascii="Calibri" w:eastAsia="Calibri" w:hAnsi="Calibri" w:cs="Calibri"/>
          <w:b/>
          <w:w w:val="100"/>
          <w:sz w:val="20"/>
          <w:szCs w:val="20"/>
        </w:rPr>
      </w:pPr>
      <w:bookmarkStart w:id="5" w:name="26"/>
      <w:bookmarkEnd w:id="5"/>
      <w:r w:rsidRPr="001F55F6">
        <w:rPr>
          <w:rFonts w:ascii="Calibri" w:eastAsia="Calibri" w:hAnsi="Calibri" w:cs="Calibri"/>
          <w:b/>
          <w:w w:val="100"/>
          <w:sz w:val="20"/>
          <w:szCs w:val="20"/>
        </w:rPr>
        <w:t>18400</w:t>
      </w:r>
      <w:r w:rsidRPr="001F55F6">
        <w:rPr>
          <w:rFonts w:cstheme="minorHAnsi"/>
          <w:b/>
          <w:sz w:val="20"/>
          <w:szCs w:val="20"/>
        </w:rPr>
        <w:t> </w:t>
      </w:r>
      <w:bookmarkStart w:id="6" w:name="25"/>
      <w:bookmarkEnd w:id="6"/>
      <w:r w:rsidRPr="001F55F6">
        <w:rPr>
          <w:rFonts w:ascii="Calibri" w:eastAsia="Calibri" w:hAnsi="Calibri" w:cs="Calibri"/>
          <w:b/>
          <w:w w:val="100"/>
          <w:sz w:val="20"/>
          <w:szCs w:val="20"/>
        </w:rPr>
        <w:t>Прокупље</w:t>
      </w:r>
    </w:p>
    <w:p w:rsidR="001F55F6" w:rsidRPr="001F55F6" w:rsidRDefault="00EC4BD2"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EC4BD2"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Fonts w:ascii="Calibri" w:eastAsia="Calibri" w:hAnsi="Calibri" w:cs="Calibri"/>
          <w:b/>
          <w:bCs/>
          <w:noProof/>
          <w:w w:val="100"/>
          <w:sz w:val="20"/>
          <w:szCs w:val="20"/>
          <w:lang w:val="sr-Latn-BA"/>
        </w:rPr>
        <w:t>14.09.2021</w:t>
      </w:r>
    </w:p>
    <w:p w:rsidR="001F55F6" w:rsidRPr="001F55F6" w:rsidRDefault="00EC4BD2"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Fonts w:ascii="Calibri" w:eastAsia="Calibri" w:hAnsi="Calibri" w:cs="Calibri"/>
          <w:b/>
          <w:bCs/>
          <w:noProof/>
          <w:w w:val="100"/>
          <w:sz w:val="20"/>
          <w:szCs w:val="20"/>
          <w:lang w:val="sr-Latn-BA"/>
        </w:rPr>
        <w:t>401-123/21-04</w:t>
      </w:r>
    </w:p>
    <w:p w:rsidR="001F55F6" w:rsidRPr="00A9707B" w:rsidRDefault="00EC4BD2" w:rsidP="00A9707B">
      <w:pPr>
        <w:spacing w:before="440" w:after="120"/>
        <w:rPr>
          <w:rFonts w:ascii="Calibri" w:eastAsia="Calibri" w:hAnsi="Calibri" w:cs="Calibri"/>
          <w:bCs/>
          <w:i/>
          <w:iCs/>
          <w:w w:val="100"/>
          <w:sz w:val="20"/>
          <w:szCs w:val="20"/>
          <w:lang w:val="sr-Latn-BA" w:eastAsia="lv-LV"/>
        </w:rPr>
      </w:pPr>
      <w:bookmarkStart w:id="9" w:name="7"/>
      <w:bookmarkEnd w:id="9"/>
      <w:r w:rsidRPr="00A9707B">
        <w:rPr>
          <w:rFonts w:ascii="Calibri" w:eastAsia="Calibri" w:hAnsi="Calibri" w:cs="Calibri"/>
          <w:bCs/>
          <w:i/>
          <w:iCs/>
          <w:w w:val="100"/>
          <w:sz w:val="20"/>
          <w:szCs w:val="20"/>
          <w:lang w:val="sr-Latn-BA" w:eastAsia="lv-LV"/>
        </w:rPr>
        <w:t>На основу члана 146. став 1. Закона о јавним набавкама („Службени гласник“, број 91/19), наручилац доноси,</w:t>
      </w:r>
    </w:p>
    <w:p w:rsidR="001F55F6" w:rsidRPr="001F55F6" w:rsidRDefault="00EC4BD2"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RDefault="00EC4BD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22"/>
      <w:bookmarkEnd w:id="11"/>
      <w:r w:rsidRPr="001F55F6">
        <w:rPr>
          <w:rFonts w:ascii="Calibri" w:eastAsia="Calibri" w:hAnsi="Calibri" w:cs="Calibri"/>
          <w:w w:val="100"/>
          <w:sz w:val="20"/>
          <w:szCs w:val="20"/>
          <w:lang w:val="sr-Latn-BA"/>
        </w:rPr>
        <w:t>ГРАДСКА УПРАВА ГРАДА ПРОКУПЉА</w:t>
      </w:r>
    </w:p>
    <w:p w:rsidR="001F55F6" w:rsidRPr="001F55F6" w:rsidRDefault="00EC4BD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2" w:name="19"/>
      <w:bookmarkEnd w:id="12"/>
      <w:r w:rsidRPr="001F55F6">
        <w:rPr>
          <w:rFonts w:ascii="Calibri" w:eastAsia="Calibri" w:hAnsi="Calibri" w:cs="Calibri"/>
          <w:w w:val="100"/>
          <w:sz w:val="20"/>
          <w:szCs w:val="20"/>
          <w:lang w:val="sr-Latn-BA"/>
        </w:rPr>
        <w:t>401-123/21-04</w:t>
      </w:r>
    </w:p>
    <w:p w:rsidR="001F55F6" w:rsidRPr="001F55F6" w:rsidRDefault="00EC4BD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3" w:name="18"/>
      <w:bookmarkEnd w:id="13"/>
      <w:r w:rsidRPr="001F55F6">
        <w:rPr>
          <w:rFonts w:ascii="Calibri" w:eastAsia="Calibri" w:hAnsi="Calibri" w:cs="Calibri"/>
          <w:w w:val="100"/>
          <w:sz w:val="20"/>
          <w:szCs w:val="20"/>
          <w:lang w:val="sr-Latn-BA"/>
        </w:rPr>
        <w:t>Набавка намештаја за Гимназију у Прокупљу</w:t>
      </w:r>
    </w:p>
    <w:p w:rsidR="001F55F6" w:rsidRPr="001F55F6" w:rsidRDefault="00EC4BD2"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4" w:name="17"/>
      <w:bookmarkEnd w:id="14"/>
      <w:r w:rsidRPr="001F55F6">
        <w:rPr>
          <w:rFonts w:ascii="Calibri" w:eastAsia="Calibri" w:hAnsi="Calibri" w:cs="Calibri"/>
          <w:b/>
          <w:bCs/>
          <w:w w:val="100"/>
          <w:sz w:val="20"/>
          <w:szCs w:val="20"/>
          <w:lang w:val="sr-Latn-BA"/>
        </w:rPr>
        <w:t>2021/С Ф02-0030751</w:t>
      </w:r>
    </w:p>
    <w:p w:rsidR="001F55F6" w:rsidRPr="001F55F6" w:rsidRDefault="00EC4BD2"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5" w:name="A_ConType_1_1"/>
      <w:r w:rsidRPr="005F01C2">
        <w:rPr>
          <w:rFonts w:asciiTheme="minorHAnsi" w:hAnsiTheme="minorHAnsi" w:cstheme="minorHAnsi"/>
          <w:b w:val="0"/>
          <w:sz w:val="20"/>
          <w:szCs w:val="20"/>
          <w:lang w:val="sr-Latn-BA"/>
        </w:rPr>
        <w:instrText xml:space="preserve"> FORMCHECKBOX </w:instrText>
      </w:r>
      <w:r w:rsidRPr="005F01C2">
        <w:rPr>
          <w:rFonts w:asciiTheme="minorHAnsi" w:hAnsiTheme="minorHAnsi" w:cstheme="minorHAnsi"/>
          <w:sz w:val="20"/>
          <w:szCs w:val="20"/>
        </w:rPr>
      </w:r>
      <w:r w:rsidRPr="005F01C2">
        <w:rPr>
          <w:rFonts w:asciiTheme="minorHAnsi" w:hAnsiTheme="minorHAnsi" w:cstheme="minorHAnsi"/>
          <w:sz w:val="20"/>
          <w:szCs w:val="20"/>
        </w:rPr>
        <w:fldChar w:fldCharType="end"/>
      </w:r>
      <w:bookmarkEnd w:id="15"/>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6" w:name="A_ConType_2_1"/>
      <w:r w:rsidRPr="00AC11B5">
        <w:rPr>
          <w:rFonts w:asciiTheme="minorHAnsi" w:hAnsiTheme="minorHAnsi" w:cstheme="minorHAnsi"/>
          <w:b w:val="0"/>
          <w:sz w:val="20"/>
          <w:szCs w:val="20"/>
          <w:lang w:val="sr-Latn-BA"/>
        </w:rPr>
        <w:instrText xml:space="preserve"> FORMCHECKBOX </w:instrText>
      </w:r>
      <w:r w:rsidRPr="00AC11B5">
        <w:rPr>
          <w:rFonts w:asciiTheme="minorHAnsi" w:hAnsiTheme="minorHAnsi" w:cstheme="minorHAnsi"/>
          <w:sz w:val="20"/>
          <w:szCs w:val="20"/>
        </w:rPr>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7" w:name="A_ConType_3_1"/>
      <w:r w:rsidRPr="00AC11B5">
        <w:rPr>
          <w:rFonts w:asciiTheme="minorHAnsi" w:hAnsiTheme="minorHAnsi" w:cstheme="minorHAnsi"/>
          <w:b w:val="0"/>
          <w:sz w:val="20"/>
          <w:szCs w:val="20"/>
          <w:lang w:val="sr-Latn-BA"/>
        </w:rPr>
        <w:instrText xml:space="preserve"> FORMCHECKBOX </w:instrText>
      </w:r>
      <w:r w:rsidRPr="00AC11B5">
        <w:rPr>
          <w:rFonts w:asciiTheme="minorHAnsi" w:hAnsiTheme="minorHAnsi" w:cstheme="minorHAnsi"/>
          <w:sz w:val="20"/>
          <w:szCs w:val="20"/>
        </w:rPr>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RDefault="00EC4BD2"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Главна CPV ознака:</w:t>
      </w:r>
      <w:r w:rsidR="003406EF">
        <w:rPr>
          <w:rFonts w:asciiTheme="minorHAnsi" w:hAnsiTheme="minorHAnsi" w:cstheme="minorHAnsi"/>
          <w:b w:val="0"/>
          <w:sz w:val="20"/>
          <w:szCs w:val="20"/>
          <w:lang w:val="sr-Latn-BA"/>
        </w:rPr>
        <w:tab/>
      </w:r>
      <w:bookmarkStart w:id="18" w:name="20"/>
      <w:bookmarkEnd w:id="18"/>
      <w:r w:rsidRPr="001F55F6">
        <w:rPr>
          <w:rFonts w:ascii="Calibri" w:eastAsia="Calibri" w:hAnsi="Calibri" w:cs="Calibri"/>
          <w:w w:val="100"/>
          <w:sz w:val="20"/>
          <w:szCs w:val="20"/>
          <w:lang w:val="sr-Latn-BA"/>
        </w:rPr>
        <w:t>39160000</w:t>
      </w:r>
    </w:p>
    <w:p w:rsidR="001F55F6" w:rsidRPr="001F55F6" w:rsidRDefault="00EC4BD2"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9" w:name="1"/>
      <w:bookmarkEnd w:id="19"/>
      <w:r w:rsidRPr="001F55F6">
        <w:rPr>
          <w:rFonts w:ascii="Calibri" w:eastAsia="Calibri" w:hAnsi="Calibri" w:cs="Calibri"/>
          <w:w w:val="100"/>
          <w:sz w:val="20"/>
          <w:szCs w:val="20"/>
          <w:lang w:val="sr-Latn-BA"/>
        </w:rPr>
        <w:t>Набавка намештаја за Гимназију у Прокупљу</w:t>
      </w:r>
    </w:p>
    <w:p w:rsidR="001F55F6" w:rsidRPr="00B84A8C" w:rsidRDefault="00EC4BD2" w:rsidP="001F55F6">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0" w:name="2"/>
      <w:bookmarkEnd w:id="20"/>
      <w:r w:rsidR="00B84A8C" w:rsidRPr="001F55F6">
        <w:rPr>
          <w:rFonts w:ascii="Calibri" w:eastAsia="Calibri" w:hAnsi="Calibri" w:cs="Calibri"/>
          <w:b/>
          <w:w w:val="100"/>
          <w:sz w:val="20"/>
          <w:szCs w:val="20"/>
        </w:rPr>
        <w:t>5.098.700,00</w:t>
      </w:r>
      <w:r w:rsidR="00B84A8C" w:rsidRPr="001F55F6">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1" w:name="3"/>
      <w:bookmarkEnd w:id="21"/>
      <w:r w:rsidRPr="00B84A8C">
        <w:rPr>
          <w:rFonts w:ascii="Calibri" w:eastAsia="Calibri" w:hAnsi="Calibri" w:cs="Calibri"/>
          <w:b/>
          <w:w w:val="100"/>
          <w:sz w:val="20"/>
          <w:szCs w:val="20"/>
          <w:lang w:val="sr-Latn-BA"/>
        </w:rPr>
        <w:t>РСД</w:t>
      </w:r>
    </w:p>
    <w:p w:rsidR="001F55F6" w:rsidRPr="001F55F6" w:rsidRDefault="00EC4BD2" w:rsidP="002A1737">
      <w:pPr>
        <w:tabs>
          <w:tab w:val="left" w:pos="1701"/>
        </w:tabs>
        <w:spacing w:before="120"/>
        <w:rPr>
          <w:rFonts w:cstheme="minorHAnsi"/>
          <w:sz w:val="20"/>
          <w:szCs w:val="20"/>
        </w:rPr>
      </w:pPr>
      <w:r w:rsidRPr="001F55F6">
        <w:rPr>
          <w:rFonts w:cstheme="minorHAnsi"/>
          <w:sz w:val="20"/>
          <w:szCs w:val="20"/>
        </w:rPr>
        <w:t>Уговор се додељује</w:t>
      </w:r>
      <w:r w:rsidR="00B84A8C">
        <w:rPr>
          <w:rFonts w:cstheme="minorHAnsi"/>
          <w:sz w:val="20"/>
          <w:szCs w:val="20"/>
        </w:rPr>
        <w:t xml:space="preserve"> </w:t>
      </w:r>
      <w:bookmarkStart w:id="22" w:name="10"/>
      <w:bookmarkEnd w:id="22"/>
      <w:r w:rsidRPr="001F55F6">
        <w:rPr>
          <w:rFonts w:ascii="Calibri" w:eastAsia="Calibri" w:hAnsi="Calibri" w:cs="Calibri"/>
          <w:b/>
          <w:w w:val="100"/>
          <w:sz w:val="20"/>
          <w:szCs w:val="20"/>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firstRow="1" w:lastRow="0" w:firstColumn="1" w:lastColumn="0" w:noHBand="0" w:noVBand="1"/>
      </w:tblPr>
      <w:tblGrid>
        <w:gridCol w:w="10205"/>
      </w:tblGrid>
      <w:tr w:rsidR="00D91B7B" w:rsidTr="00B84A8C">
        <w:trPr>
          <w:cantSplit/>
        </w:trPr>
        <w:tc>
          <w:tcPr>
            <w:tcW w:w="5000" w:type="pct"/>
            <w:hideMark/>
          </w:tcPr>
          <w:p w:rsidR="001F55F6" w:rsidRPr="00B84A8C" w:rsidRDefault="00EC4BD2" w:rsidP="002A1737">
            <w:pPr>
              <w:rPr>
                <w:rFonts w:ascii="Calibri" w:eastAsia="Calibri" w:hAnsi="Calibri" w:cs="Calibri"/>
                <w:b/>
                <w:bCs/>
                <w:w w:val="100"/>
                <w:sz w:val="20"/>
                <w:szCs w:val="20"/>
              </w:rPr>
            </w:pPr>
            <w:bookmarkStart w:id="23" w:name="11"/>
            <w:bookmarkEnd w:id="23"/>
            <w:r w:rsidRPr="00B84A8C">
              <w:rPr>
                <w:rFonts w:ascii="Calibri" w:eastAsia="Calibri" w:hAnsi="Calibri" w:cs="Calibri"/>
                <w:b/>
                <w:bCs/>
                <w:w w:val="100"/>
                <w:sz w:val="20"/>
                <w:szCs w:val="20"/>
                <w:lang w:val="sr-Latn-BA"/>
              </w:rPr>
              <w:t>БЛАЖЕКС ДОО КРАГУЈЕВАЦ</w:t>
            </w:r>
            <w:r w:rsidRPr="00B84A8C">
              <w:rPr>
                <w:rFonts w:cstheme="minorHAnsi"/>
                <w:b/>
                <w:bCs/>
                <w:sz w:val="20"/>
                <w:szCs w:val="20"/>
                <w:lang w:val="sr-Latn-BA"/>
              </w:rPr>
              <w:t xml:space="preserve">, </w:t>
            </w:r>
            <w:bookmarkStart w:id="24" w:name="12"/>
            <w:bookmarkEnd w:id="24"/>
            <w:r w:rsidRPr="00B84A8C">
              <w:rPr>
                <w:rFonts w:ascii="Calibri" w:eastAsia="Calibri" w:hAnsi="Calibri" w:cs="Calibri"/>
                <w:b/>
                <w:bCs/>
                <w:w w:val="100"/>
                <w:sz w:val="20"/>
                <w:szCs w:val="20"/>
                <w:lang w:val="sr-Latn-BA"/>
              </w:rPr>
              <w:t>101506070</w:t>
            </w:r>
            <w:r w:rsidRPr="00B84A8C">
              <w:rPr>
                <w:rFonts w:cstheme="minorHAnsi"/>
                <w:b/>
                <w:bCs/>
                <w:sz w:val="20"/>
                <w:szCs w:val="20"/>
                <w:lang w:val="sr-Latn-BA"/>
              </w:rPr>
              <w:t xml:space="preserve">, </w:t>
            </w:r>
            <w:bookmarkStart w:id="25" w:name="13"/>
            <w:bookmarkEnd w:id="25"/>
            <w:r w:rsidRPr="00B84A8C">
              <w:rPr>
                <w:rFonts w:ascii="Calibri" w:eastAsia="Calibri" w:hAnsi="Calibri" w:cs="Calibri"/>
                <w:b/>
                <w:bCs/>
                <w:w w:val="100"/>
                <w:sz w:val="20"/>
                <w:szCs w:val="20"/>
                <w:lang w:val="sr-Latn-BA"/>
              </w:rPr>
              <w:t>МИЛЕНТИЈА ПОПОВИЋА, 8</w:t>
            </w:r>
            <w:r w:rsidRPr="00B84A8C">
              <w:rPr>
                <w:rFonts w:cstheme="minorHAnsi"/>
                <w:b/>
                <w:bCs/>
                <w:sz w:val="20"/>
                <w:szCs w:val="20"/>
                <w:lang w:val="sr-Latn-BA"/>
              </w:rPr>
              <w:t xml:space="preserve">, </w:t>
            </w:r>
            <w:bookmarkStart w:id="26" w:name="14"/>
            <w:bookmarkEnd w:id="26"/>
            <w:r w:rsidRPr="00B84A8C">
              <w:rPr>
                <w:rFonts w:ascii="Calibri" w:eastAsia="Calibri" w:hAnsi="Calibri" w:cs="Calibri"/>
                <w:b/>
                <w:bCs/>
                <w:w w:val="100"/>
                <w:sz w:val="20"/>
                <w:szCs w:val="20"/>
                <w:lang w:val="sr-Latn-BA"/>
              </w:rPr>
              <w:t>Крагујевац</w:t>
            </w:r>
            <w:r w:rsidRPr="00B84A8C">
              <w:rPr>
                <w:rFonts w:cstheme="minorHAnsi"/>
                <w:b/>
                <w:bCs/>
                <w:sz w:val="20"/>
                <w:szCs w:val="20"/>
                <w:lang w:val="sr-Latn-BA"/>
              </w:rPr>
              <w:t xml:space="preserve">, </w:t>
            </w:r>
            <w:bookmarkStart w:id="27" w:name="15"/>
            <w:bookmarkEnd w:id="27"/>
            <w:r w:rsidRPr="00B84A8C">
              <w:rPr>
                <w:rFonts w:ascii="Calibri" w:eastAsia="Calibri" w:hAnsi="Calibri" w:cs="Calibri"/>
                <w:b/>
                <w:bCs/>
                <w:w w:val="100"/>
                <w:sz w:val="20"/>
                <w:szCs w:val="20"/>
                <w:lang w:val="sr-Latn-BA"/>
              </w:rPr>
              <w:t>34000</w:t>
            </w:r>
            <w:r w:rsidRPr="00B84A8C">
              <w:rPr>
                <w:rFonts w:cstheme="minorHAnsi"/>
                <w:b/>
                <w:bCs/>
                <w:sz w:val="20"/>
                <w:szCs w:val="20"/>
                <w:lang w:val="sr-Latn-BA"/>
              </w:rPr>
              <w:t xml:space="preserve">, </w:t>
            </w:r>
            <w:bookmarkStart w:id="28" w:name="16"/>
            <w:bookmarkEnd w:id="28"/>
            <w:r w:rsidRPr="00B84A8C">
              <w:rPr>
                <w:rFonts w:ascii="Calibri" w:eastAsia="Calibri" w:hAnsi="Calibri" w:cs="Calibri"/>
                <w:b/>
                <w:bCs/>
                <w:w w:val="100"/>
                <w:sz w:val="20"/>
                <w:szCs w:val="20"/>
              </w:rPr>
              <w:t>Србија</w:t>
            </w:r>
          </w:p>
        </w:tc>
      </w:tr>
    </w:tbl>
    <w:p w:rsidR="00A9707B" w:rsidRPr="00A9707B" w:rsidRDefault="00A9707B" w:rsidP="002A1737">
      <w:pPr>
        <w:tabs>
          <w:tab w:val="left" w:pos="2438"/>
        </w:tabs>
        <w:spacing w:after="120"/>
        <w:rPr>
          <w:rFonts w:cstheme="minorHAnsi"/>
          <w:bCs/>
          <w:sz w:val="20"/>
          <w:szCs w:val="20"/>
        </w:rPr>
      </w:pPr>
    </w:p>
    <w:p w:rsidR="001F55F6" w:rsidRPr="00B84A8C" w:rsidRDefault="00EC4BD2"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(без ПДВ):</w:t>
      </w:r>
      <w:r w:rsidR="00B84A8C">
        <w:rPr>
          <w:rFonts w:cstheme="minorHAnsi"/>
          <w:bCs/>
          <w:sz w:val="20"/>
          <w:szCs w:val="20"/>
        </w:rPr>
        <w:tab/>
      </w:r>
      <w:bookmarkStart w:id="29" w:name="4"/>
      <w:bookmarkEnd w:id="29"/>
      <w:r w:rsidRPr="00B84A8C">
        <w:rPr>
          <w:rFonts w:ascii="Calibri" w:eastAsia="Calibri" w:hAnsi="Calibri" w:cs="Calibri"/>
          <w:b/>
          <w:bCs/>
          <w:w w:val="100"/>
          <w:sz w:val="20"/>
          <w:szCs w:val="20"/>
          <w:lang w:val="sr-Latn-BA"/>
        </w:rPr>
        <w:t>5.091.400,00</w:t>
      </w:r>
    </w:p>
    <w:p w:rsidR="001F55F6" w:rsidRPr="00B84A8C" w:rsidRDefault="00EC4BD2" w:rsidP="00B84A8C">
      <w:pPr>
        <w:tabs>
          <w:tab w:val="left" w:pos="2438"/>
        </w:tabs>
        <w:spacing w:before="120" w:after="120"/>
        <w:rPr>
          <w:rFonts w:ascii="Calibri" w:eastAsia="Calibri" w:hAnsi="Calibri" w:cs="Calibri"/>
          <w:b/>
          <w:bCs/>
          <w:w w:val="100"/>
          <w:sz w:val="20"/>
          <w:szCs w:val="20"/>
          <w:lang w:val="sr-Latn-BA"/>
        </w:rPr>
      </w:pPr>
      <w:r w:rsidRPr="001F55F6">
        <w:rPr>
          <w:rFonts w:cstheme="minorHAnsi"/>
          <w:bCs/>
          <w:sz w:val="20"/>
          <w:szCs w:val="20"/>
        </w:rPr>
        <w:t>Вредност уговора (са ПДВ):</w:t>
      </w:r>
      <w:r w:rsidR="00B84A8C">
        <w:rPr>
          <w:rFonts w:cstheme="minorHAnsi"/>
          <w:bCs/>
          <w:sz w:val="20"/>
          <w:szCs w:val="20"/>
        </w:rPr>
        <w:tab/>
      </w:r>
      <w:bookmarkStart w:id="30" w:name="5"/>
      <w:bookmarkEnd w:id="30"/>
      <w:r w:rsidRPr="00B84A8C">
        <w:rPr>
          <w:rFonts w:ascii="Calibri" w:eastAsia="Calibri" w:hAnsi="Calibri" w:cs="Calibri"/>
          <w:b/>
          <w:bCs/>
          <w:w w:val="100"/>
          <w:sz w:val="20"/>
          <w:szCs w:val="20"/>
          <w:lang w:val="sr-Latn-BA"/>
        </w:rPr>
        <w:t>6.109.680,00</w:t>
      </w:r>
    </w:p>
    <w:p w:rsidR="001F55F6" w:rsidRPr="00B84A8C" w:rsidRDefault="00EC4BD2" w:rsidP="00B84A8C">
      <w:pPr>
        <w:tabs>
          <w:tab w:val="left" w:pos="2410"/>
        </w:tabs>
        <w:spacing w:before="120" w:after="120"/>
        <w:rPr>
          <w:rFonts w:ascii="Calibri" w:eastAsia="Calibri" w:hAnsi="Calibri" w:cs="Calibri"/>
          <w:b/>
          <w:bCs/>
          <w:w w:val="100"/>
          <w:sz w:val="20"/>
          <w:szCs w:val="20"/>
          <w:lang w:val="sr-Latn-BA"/>
        </w:rPr>
      </w:pPr>
      <w:r w:rsidRPr="001F55F6">
        <w:rPr>
          <w:rFonts w:cstheme="minorHAnsi"/>
          <w:sz w:val="20"/>
          <w:szCs w:val="20"/>
        </w:rPr>
        <w:t>Валута:</w:t>
      </w:r>
      <w:r w:rsidR="00B84A8C">
        <w:rPr>
          <w:rFonts w:cstheme="minorHAnsi"/>
          <w:sz w:val="20"/>
          <w:szCs w:val="20"/>
        </w:rPr>
        <w:t> </w:t>
      </w:r>
      <w:bookmarkStart w:id="31" w:name="6"/>
      <w:bookmarkEnd w:id="31"/>
      <w:r w:rsidRPr="00B84A8C">
        <w:rPr>
          <w:rFonts w:ascii="Calibri" w:eastAsia="Calibri" w:hAnsi="Calibri" w:cs="Calibri"/>
          <w:b/>
          <w:bCs/>
          <w:w w:val="100"/>
          <w:sz w:val="20"/>
          <w:szCs w:val="20"/>
          <w:lang w:val="sr-Latn-BA"/>
        </w:rPr>
        <w:t>РСД</w:t>
      </w:r>
    </w:p>
    <w:bookmarkEnd w:id="1"/>
    <w:p w:rsidR="00A9707B" w:rsidRPr="00A9707B" w:rsidRDefault="00A9707B" w:rsidP="001F55F6">
      <w:pPr>
        <w:spacing w:before="120" w:after="120"/>
        <w:rPr>
          <w:rFonts w:cstheme="minorHAnsi"/>
          <w:bCs/>
          <w:sz w:val="20"/>
          <w:szCs w:val="20"/>
        </w:rPr>
        <w:sectPr w:rsidR="00A9707B" w:rsidRPr="00A9707B" w:rsidSect="000A667E">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3"/>
        <w:gridCol w:w="179"/>
      </w:tblGrid>
      <w:tr w:rsidR="00D91B7B">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D91B7B">
              <w:trPr>
                <w:trHeight w:val="375"/>
              </w:trPr>
              <w:tc>
                <w:tcPr>
                  <w:tcW w:w="15590" w:type="dxa"/>
                  <w:shd w:val="clear" w:color="auto" w:fill="auto"/>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D91B7B" w:rsidRDefault="00D91B7B">
            <w:pPr>
              <w:spacing w:before="0" w:after="0"/>
              <w:rPr>
                <w:rFonts w:ascii="Times New Roman" w:eastAsia="Times New Roman" w:hAnsi="Times New Roman"/>
                <w:sz w:val="20"/>
                <w:szCs w:val="20"/>
              </w:rPr>
            </w:pPr>
          </w:p>
        </w:tc>
      </w:tr>
      <w:tr w:rsidR="00D91B7B">
        <w:trPr>
          <w:trHeight w:val="40"/>
        </w:trPr>
        <w:tc>
          <w:tcPr>
            <w:tcW w:w="15397"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D91B7B">
              <w:trPr>
                <w:trHeight w:val="545"/>
              </w:trPr>
              <w:tc>
                <w:tcPr>
                  <w:tcW w:w="15397" w:type="dxa"/>
                  <w:gridSpan w:val="2"/>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4"/>
                      <w:szCs w:val="20"/>
                    </w:rPr>
                    <w:t>Подаци о поступку</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Набавка намештаја за Гимназију у Прокупљу</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401-123/21-04</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Отворени поступак</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401-123/21-04, 24.08.2021</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5.098.700,00</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39160000-Школски намештај</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Набавка намештаја за Гимназију у Прокупљу</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НЕ</w:t>
                  </w:r>
                </w:p>
              </w:tc>
            </w:tr>
            <w:tr w:rsidR="00D91B7B">
              <w:trPr>
                <w:trHeight w:val="60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2021/С Ф02-0030751</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Јавни позив</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27.08.2021</w:t>
                  </w:r>
                </w:p>
              </w:tc>
            </w:tr>
            <w:tr w:rsidR="00D91B7B">
              <w:trPr>
                <w:trHeight w:val="262"/>
              </w:trPr>
              <w:tc>
                <w:tcPr>
                  <w:tcW w:w="375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0"/>
                      <w:szCs w:val="20"/>
                    </w:rPr>
                    <w:t>07.09.2021 12:00:00</w:t>
                  </w: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71"/>
            </w:tblGrid>
            <w:tr w:rsidR="00D91B7B">
              <w:trPr>
                <w:trHeight w:val="432"/>
              </w:trPr>
              <w:tc>
                <w:tcPr>
                  <w:tcW w:w="15410"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rsidR="00D91B7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Име и презиме</w:t>
                  </w:r>
                </w:p>
              </w:tc>
            </w:tr>
            <w:tr w:rsidR="00D91B7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Владимир Тончић</w:t>
                  </w:r>
                </w:p>
              </w:tc>
            </w:tr>
            <w:tr w:rsidR="00D91B7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Милица Марковић</w:t>
                  </w:r>
                </w:p>
              </w:tc>
            </w:tr>
            <w:tr w:rsidR="00D91B7B">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color w:val="000000"/>
                      <w:sz w:val="20"/>
                      <w:szCs w:val="20"/>
                    </w:rPr>
                    <w:t>Душан Стојановић</w:t>
                  </w:r>
                </w:p>
              </w:tc>
            </w:tr>
          </w:tbl>
          <w:p w:rsidR="00D91B7B" w:rsidRDefault="00D91B7B">
            <w:pPr>
              <w:spacing w:before="0" w:after="0"/>
              <w:rPr>
                <w:rFonts w:ascii="Times New Roman" w:eastAsia="Times New Roman" w:hAnsi="Times New Roman"/>
                <w:sz w:val="20"/>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D91B7B">
              <w:trPr>
                <w:trHeight w:val="432"/>
              </w:trPr>
              <w:tc>
                <w:tcPr>
                  <w:tcW w:w="15397"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D91B7B">
              <w:trPr>
                <w:trHeight w:val="68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D91B7B">
                    <w:trPr>
                      <w:trHeight w:val="68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D91B7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Набавка намештаја за Гимназију у Прокупљу</w:t>
                              </w:r>
                            </w:p>
                          </w:tc>
                        </w:tr>
                        <w:tr w:rsidR="00D91B7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56"/>
        </w:trPr>
        <w:tc>
          <w:tcPr>
            <w:tcW w:w="15397"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EC4BD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91B7B" w:rsidRDefault="00D91B7B">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D91B7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D91B7B">
              <w:trPr>
                <w:trHeight w:val="382"/>
              </w:trPr>
              <w:tc>
                <w:tcPr>
                  <w:tcW w:w="15397"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D91B7B">
              <w:trPr>
                <w:trHeight w:val="262"/>
              </w:trPr>
              <w:tc>
                <w:tcPr>
                  <w:tcW w:w="15397"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07.09.2021 12:00:00</w:t>
                  </w:r>
                </w:p>
              </w:tc>
            </w:tr>
            <w:tr w:rsidR="00D91B7B">
              <w:trPr>
                <w:trHeight w:val="262"/>
              </w:trPr>
              <w:tc>
                <w:tcPr>
                  <w:tcW w:w="15397"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07.09.2021 12:01:08</w:t>
                  </w:r>
                </w:p>
              </w:tc>
            </w:tr>
            <w:tr w:rsidR="00D91B7B">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D91B7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10"/>
                          <w:gridCol w:w="11568"/>
                        </w:tblGrid>
                        <w:tr w:rsidR="00D91B7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D91B7B" w:rsidRDefault="00D91B7B">
                        <w:pPr>
                          <w:spacing w:before="0" w:after="0"/>
                          <w:rPr>
                            <w:rFonts w:ascii="Times New Roman" w:eastAsia="Times New Roman" w:hAnsi="Times New Roman"/>
                            <w:sz w:val="20"/>
                            <w:szCs w:val="20"/>
                          </w:rPr>
                        </w:pPr>
                      </w:p>
                    </w:tc>
                    <w:tc>
                      <w:tcPr>
                        <w:tcW w:w="23"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4"/>
                          <w:gridCol w:w="2245"/>
                          <w:gridCol w:w="2221"/>
                          <w:gridCol w:w="1399"/>
                          <w:gridCol w:w="2839"/>
                        </w:tblGrid>
                        <w:tr w:rsidR="00D91B7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D91B7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БЛАЖЕКС ДОО КРАГУЈЕВАЦ, МИЛЕНТИЈА ПОПОВИЋА, 8, 34000, Крагујевац,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23/ЈН</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2.9.2021. 11:48:14</w:t>
                              </w:r>
                            </w:p>
                          </w:tc>
                        </w:tr>
                        <w:tr w:rsidR="00D91B7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ДОО С.Ц.С. ПЛУС  КЊАЖЕВАЦ, Књаза Милоша, 9, 19350, Књажевац,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591 од 31.08.2021.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6.9.2021. 14:45:09</w:t>
                              </w:r>
                            </w:p>
                          </w:tc>
                        </w:tr>
                        <w:tr w:rsidR="00D91B7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ЈОВАН ПАНАЈОТОВИЋ ПР ПРОИЗВОДЊА НАМЕШТАЈА И УРЕЂЕЊЕ ЗЕЛЕНИХ ПОВРШИНА ТЕХНО-ЕКОНОМИК ЗВЕЧКА, Браће Лазић, 104, 11500, Звечка,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60/21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7.9.2021. 03:13:32</w:t>
                              </w:r>
                            </w:p>
                          </w:tc>
                        </w:tr>
                      </w:tbl>
                      <w:p w:rsidR="00D91B7B" w:rsidRDefault="00D91B7B">
                        <w:pPr>
                          <w:spacing w:before="0" w:after="0"/>
                          <w:rPr>
                            <w:rFonts w:ascii="Times New Roman" w:eastAsia="Times New Roman" w:hAnsi="Times New Roman"/>
                            <w:sz w:val="20"/>
                            <w:szCs w:val="20"/>
                          </w:rPr>
                        </w:pPr>
                      </w:p>
                    </w:tc>
                    <w:tc>
                      <w:tcPr>
                        <w:tcW w:w="23"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92"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62"/>
        </w:trPr>
        <w:tc>
          <w:tcPr>
            <w:tcW w:w="15397" w:type="dxa"/>
            <w:shd w:val="clear" w:color="auto" w:fill="auto"/>
          </w:tcPr>
          <w:p w:rsidR="00D91B7B" w:rsidRDefault="00D91B7B">
            <w:pPr>
              <w:spacing w:before="0" w:after="0"/>
              <w:rPr>
                <w:rFonts w:ascii="Times New Roman" w:eastAsia="Times New Roman" w:hAnsi="Times New Roman"/>
                <w:sz w:val="2"/>
                <w:szCs w:val="20"/>
              </w:rPr>
            </w:pPr>
          </w:p>
        </w:tc>
        <w:tc>
          <w:tcPr>
            <w:tcW w:w="192"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EC4BD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D91B7B" w:rsidRDefault="00D91B7B">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D91B7B">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D91B7B">
              <w:trPr>
                <w:trHeight w:val="382"/>
              </w:trPr>
              <w:tc>
                <w:tcPr>
                  <w:tcW w:w="15392"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D91B7B">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300"/>
                    <w:gridCol w:w="7053"/>
                  </w:tblGrid>
                  <w:tr w:rsidR="00D91B7B">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70"/>
                          <w:gridCol w:w="1120"/>
                          <w:gridCol w:w="1120"/>
                          <w:gridCol w:w="1106"/>
                          <w:gridCol w:w="1218"/>
                          <w:gridCol w:w="1109"/>
                        </w:tblGrid>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БЛАЖЕКС ДОО КРАГУЈЕВАЦ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5091400.00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6109680.00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 xml:space="preserve">у року до 45 дана од дана пријема исправног рачуна и потписивања записника о квалитативном и квантитативном пријему испоручених добара, од стране уговорних страни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35</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ДОО С.Ц.С. ПЛУС  КЊАЖЕВАЦ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4730990.00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5677188.00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30</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ЈОВАН ПАНАЈОТОВИЋ ПР ПРОИЗВОДЊА НАМЕШТАЈА И УРЕЂЕЊЕ ЗЕЛЕНИХ ПОВРШИНА ТЕХНО-ЕКОНОМИК ЗВЕЧКА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4457500.00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5349000.00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Плаћање уговорених услуга испоруке добара вршиће се без аванса у року до 45 дана од дана пријема исправног рачуна и потписивања записника о квалитативном и квантитативном пријему испоручених добара, од стране уговорних страна;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30</w:t>
                              </w:r>
                            </w:p>
                          </w:tc>
                        </w:tr>
                      </w:tbl>
                      <w:p w:rsidR="00D91B7B" w:rsidRDefault="00D91B7B">
                        <w:pPr>
                          <w:spacing w:before="0" w:after="0"/>
                          <w:rPr>
                            <w:rFonts w:ascii="Times New Roman" w:eastAsia="Times New Roman" w:hAnsi="Times New Roman"/>
                            <w:sz w:val="20"/>
                            <w:szCs w:val="20"/>
                          </w:rPr>
                        </w:pPr>
                      </w:p>
                    </w:tc>
                    <w:tc>
                      <w:tcPr>
                        <w:tcW w:w="7081"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50"/>
        </w:trPr>
        <w:tc>
          <w:tcPr>
            <w:tcW w:w="15392"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D91B7B">
              <w:trPr>
                <w:trHeight w:val="382"/>
              </w:trPr>
              <w:tc>
                <w:tcPr>
                  <w:tcW w:w="15397"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rsidR="00D91B7B">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D91B7B">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569"/>
                          <w:gridCol w:w="1120"/>
                          <w:gridCol w:w="1120"/>
                          <w:gridCol w:w="1105"/>
                          <w:gridCol w:w="1218"/>
                          <w:gridCol w:w="1109"/>
                        </w:tblGrid>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БЛАЖЕКС ДОО КРАГУЈЕВАЦ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5091400.00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6109680.00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 xml:space="preserve">у року до 45 дана од дана пријема исправног рачуна и потписивања записника о квалитативном и квантитативном пријему испоручених добара, од стране уговорних страни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35</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ДОО С.Ц.С. ПЛУС  КЊАЖЕВАЦ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4730990.00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5677188.00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30</w:t>
                              </w:r>
                            </w:p>
                          </w:tc>
                        </w:tr>
                        <w:tr w:rsidR="00D91B7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Cs w:val="20"/>
                                </w:rPr>
                                <w:t>ЈОВАН ПАНАЈОТОВИЋ ПР ПРОИЗВОДЊА НАМЕШТАЈА И УРЕЂЕЊЕ ЗЕЛЕНИХ ПОВРШИНА ТЕХНО-ЕКОНОМИК ЗВЕЧКА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4457500.00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5349000.00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Плаћање уговорених услуга испоруке добара вршиће се без аванса у року до 45 дана од дана пријема исправног рачуна и потписивања записника о квалитативном и квантитативном пријему испоручених добара, од стране уговорних страна;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Cs w:val="20"/>
                                </w:rPr>
                                <w:t>30</w:t>
                              </w:r>
                            </w:p>
                          </w:tc>
                        </w:tr>
                      </w:tbl>
                      <w:p w:rsidR="00D91B7B" w:rsidRDefault="00D91B7B">
                        <w:pPr>
                          <w:spacing w:before="0" w:after="0"/>
                          <w:rPr>
                            <w:rFonts w:ascii="Times New Roman" w:eastAsia="Times New Roman" w:hAnsi="Times New Roman"/>
                            <w:sz w:val="20"/>
                            <w:szCs w:val="20"/>
                          </w:rPr>
                        </w:pPr>
                      </w:p>
                    </w:tc>
                    <w:tc>
                      <w:tcPr>
                        <w:tcW w:w="7087"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48"/>
        </w:trPr>
        <w:tc>
          <w:tcPr>
            <w:tcW w:w="15392"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D91B7B">
              <w:trPr>
                <w:trHeight w:val="418"/>
              </w:trPr>
              <w:tc>
                <w:tcPr>
                  <w:tcW w:w="15411"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rsidR="00D91B7B">
              <w:trPr>
                <w:trHeight w:val="374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D91B7B">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1"/>
                          <w:gridCol w:w="2816"/>
                          <w:gridCol w:w="2812"/>
                          <w:gridCol w:w="2142"/>
                          <w:gridCol w:w="2142"/>
                          <w:gridCol w:w="896"/>
                        </w:tblGrid>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lastRenderedPageBreak/>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БЛАЖЕКС ДОО КРАГУЈЕВАЦ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5.091.400,00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6.109.680,00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ДОО С.Ц.С. ПЛУС  КЊАЖЕВАЦ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4.730.990,00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5.677.188,00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Дана 09.09.2021. године наручилац је на основу члана 142. став 1. Закона о јавним набавкама, путем портала јн. послао захтев понуђачу да се изјасни, да ће у случају да његова понуда буде оцењена као најповољнија, доставити предметна добра до 04.10.2021. године. У свом одговору, понуђач је условио наручиоца да уколико уговор буде закључен до 17.09.2021. године да ће испоручити тражена добра најкасније до 04.10.2021. године. Како након стручне оцене понуда и објављивања одлуке о додели уговора,  тече законски рок за заштиту права од 10 дана, уговор сигурно неће бити закључен  до 17.09.2021. године тако да понуђач  својом изјавом потврђује да неће успети да испуни услов из конкурсне документације и модела уговора, па се понуда понуђача   ,,ДОО С.Ц.С. ПЛУС КЊАЖЕВАЦ'' одбија као неприхватљива према члану 144.став 1. тачка (3) Закона о јавним набавкама.</w:t>
                              </w:r>
                            </w:p>
                          </w:tc>
                        </w:tr>
                        <w:tr w:rsidR="00D91B7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ЈОВАН ПАНАЈОТОВИЋ ПР ПРОИЗВОДЊА НАМЕШТАЈА И УРЕЂЕЊЕ ЗЕЛЕНИХ ПОВРШИНА ТЕХНО-ЕКОНОМИК ЗВЕЧКА</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4.457.500,00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jc w:val="right"/>
                                <w:rPr>
                                  <w:rFonts w:ascii="Times New Roman" w:eastAsia="Times New Roman" w:hAnsi="Times New Roman"/>
                                  <w:sz w:val="20"/>
                                  <w:szCs w:val="20"/>
                                </w:rPr>
                              </w:pPr>
                              <w:r>
                                <w:rPr>
                                  <w:rFonts w:ascii="Arial" w:eastAsia="Arial" w:hAnsi="Arial"/>
                                  <w:color w:val="000000"/>
                                  <w:sz w:val="20"/>
                                  <w:szCs w:val="20"/>
                                </w:rPr>
                                <w:t>5.349.000,00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Наручилац је дана 08.09.2021. године доставио преко портала захтев понуђачу за додатна објашњења, додатну документацију или информације према члану 142. Закона о јавним набавкама .Такође упућен је и  захтев да понуђач достави доказе за предметни поступак а у складу са чланом 119. Закона о јавним набавкама. До истека законског рока према члану 119. Закона о јавним набавкама понуђач није доставио ни објашњење нити доказе за предметни поступак па се понуда понуђача ЈОВАН ПАНАЈОТОВИЋ ПР ПРОИЗВОДЊА НАМЕШТАЈА И УРЕЂЕЊЕ ЗЕЛЕНИХ ПОВРШИНА ТЕХНО-ЕКОНОМИК ЗВЕЧКА одбија као неприхватљива на основу члана 144. став 1. тачка 2) и тачка 3) Закона о јавним набавкама.</w:t>
                              </w:r>
                            </w:p>
                          </w:tc>
                        </w:tr>
                        <w:tr w:rsidR="00D91B7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rsidR="00D91B7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14"/>
        </w:trPr>
        <w:tc>
          <w:tcPr>
            <w:tcW w:w="15392"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D91B7B">
              <w:trPr>
                <w:trHeight w:val="311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D91B7B">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8"/>
                          <w:gridCol w:w="11590"/>
                        </w:tblGrid>
                        <w:tr w:rsidR="00D91B7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D91B7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r>
                        <w:tr w:rsidR="00D91B7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298"/>
                    </w:trPr>
                    <w:tc>
                      <w:tcPr>
                        <w:tcW w:w="3741" w:type="dxa"/>
                        <w:shd w:val="clear" w:color="auto" w:fill="auto"/>
                      </w:tcPr>
                      <w:p w:rsidR="00D91B7B" w:rsidRDefault="00D91B7B">
                        <w:pPr>
                          <w:spacing w:before="0" w:after="0"/>
                          <w:rPr>
                            <w:rFonts w:ascii="Times New Roman" w:eastAsia="Times New Roman" w:hAnsi="Times New Roman"/>
                            <w:sz w:val="2"/>
                            <w:szCs w:val="20"/>
                          </w:rPr>
                        </w:pPr>
                      </w:p>
                    </w:tc>
                    <w:tc>
                      <w:tcPr>
                        <w:tcW w:w="11631"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r>
                  <w:tr w:rsidR="00D91B7B">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2"/>
                          <w:gridCol w:w="1614"/>
                          <w:gridCol w:w="7303"/>
                          <w:gridCol w:w="1896"/>
                        </w:tblGrid>
                        <w:tr w:rsidR="00D91B7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D91B7B">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БЛАЖЕКС ДОО КРАГУЈЕВАЦ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Цена понуде: 5.091.400,00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D91B7B" w:rsidRDefault="00EC4BD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327"/>
                    </w:trPr>
                    <w:tc>
                      <w:tcPr>
                        <w:tcW w:w="3741" w:type="dxa"/>
                        <w:shd w:val="clear" w:color="auto" w:fill="auto"/>
                      </w:tcPr>
                      <w:p w:rsidR="00D91B7B" w:rsidRDefault="00D91B7B">
                        <w:pPr>
                          <w:spacing w:before="0" w:after="0"/>
                          <w:rPr>
                            <w:rFonts w:ascii="Times New Roman" w:eastAsia="Times New Roman" w:hAnsi="Times New Roman"/>
                            <w:sz w:val="2"/>
                            <w:szCs w:val="20"/>
                          </w:rPr>
                        </w:pPr>
                      </w:p>
                    </w:tc>
                    <w:tc>
                      <w:tcPr>
                        <w:tcW w:w="11631"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D91B7B">
                          <w:trPr>
                            <w:trHeight w:val="262"/>
                          </w:trPr>
                          <w:tc>
                            <w:tcPr>
                              <w:tcW w:w="3741"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D91B7B" w:rsidRDefault="00D91B7B">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D91B7B">
                          <w:trPr>
                            <w:trHeight w:val="262"/>
                          </w:trPr>
                          <w:tc>
                            <w:tcPr>
                              <w:tcW w:w="11631" w:type="dxa"/>
                              <w:shd w:val="clear" w:color="auto" w:fill="auto"/>
                              <w:tcMar>
                                <w:top w:w="39" w:type="dxa"/>
                                <w:left w:w="39" w:type="dxa"/>
                                <w:bottom w:w="39" w:type="dxa"/>
                                <w:right w:w="39" w:type="dxa"/>
                              </w:tcMar>
                            </w:tcPr>
                            <w:p w:rsidR="00D91B7B" w:rsidRDefault="00EC4BD2">
                              <w:pPr>
                                <w:spacing w:before="0" w:after="0"/>
                                <w:rPr>
                                  <w:rFonts w:ascii="Times New Roman" w:eastAsia="Times New Roman" w:hAnsi="Times New Roman"/>
                                  <w:sz w:val="20"/>
                                  <w:szCs w:val="20"/>
                                </w:rPr>
                              </w:pPr>
                              <w:r>
                                <w:rPr>
                                  <w:rFonts w:ascii="Arial" w:eastAsia="Arial" w:hAnsi="Arial"/>
                                  <w:b/>
                                  <w:color w:val="000000"/>
                                  <w:sz w:val="20"/>
                                  <w:szCs w:val="20"/>
                                </w:rPr>
                                <w:t>Понуђач је доставио понуду са свим доказима и објашњењима и понуда је у оквиру процењене вредности, па је понуда као таква прихватљива</w:t>
                              </w:r>
                            </w:p>
                          </w:tc>
                        </w:tr>
                      </w:tbl>
                      <w:p w:rsidR="00D91B7B" w:rsidRDefault="00D91B7B">
                        <w:pPr>
                          <w:spacing w:before="0" w:after="0"/>
                          <w:rPr>
                            <w:rFonts w:ascii="Times New Roman" w:eastAsia="Times New Roman" w:hAnsi="Times New Roman"/>
                            <w:sz w:val="20"/>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16"/>
                    </w:trPr>
                    <w:tc>
                      <w:tcPr>
                        <w:tcW w:w="3741" w:type="dxa"/>
                        <w:shd w:val="clear" w:color="auto" w:fill="auto"/>
                      </w:tcPr>
                      <w:p w:rsidR="00D91B7B" w:rsidRDefault="00D91B7B">
                        <w:pPr>
                          <w:spacing w:before="0" w:after="0"/>
                          <w:rPr>
                            <w:rFonts w:ascii="Times New Roman" w:eastAsia="Times New Roman" w:hAnsi="Times New Roman"/>
                            <w:sz w:val="2"/>
                            <w:szCs w:val="20"/>
                          </w:rPr>
                        </w:pPr>
                      </w:p>
                    </w:tc>
                    <w:tc>
                      <w:tcPr>
                        <w:tcW w:w="11631"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D91B7B">
                  <w:pPr>
                    <w:spacing w:before="0" w:after="0"/>
                    <w:rPr>
                      <w:rFonts w:ascii="Times New Roman" w:eastAsia="Times New Roman" w:hAnsi="Times New Roman"/>
                      <w:sz w:val="20"/>
                      <w:szCs w:val="20"/>
                    </w:rPr>
                  </w:pPr>
                </w:p>
              </w:tc>
            </w:tr>
          </w:tbl>
          <w:p w:rsidR="00D91B7B" w:rsidRDefault="00D91B7B">
            <w:pPr>
              <w:spacing w:before="0" w:after="0"/>
              <w:rPr>
                <w:rFonts w:ascii="Times New Roman" w:eastAsia="Times New Roman" w:hAnsi="Times New Roman"/>
                <w:sz w:val="20"/>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r w:rsidR="00D91B7B">
        <w:trPr>
          <w:trHeight w:val="523"/>
        </w:trPr>
        <w:tc>
          <w:tcPr>
            <w:tcW w:w="15392" w:type="dxa"/>
            <w:shd w:val="clear" w:color="auto" w:fill="auto"/>
          </w:tcPr>
          <w:p w:rsidR="00D91B7B" w:rsidRDefault="00D91B7B">
            <w:pPr>
              <w:spacing w:before="0" w:after="0"/>
              <w:rPr>
                <w:rFonts w:ascii="Times New Roman" w:eastAsia="Times New Roman" w:hAnsi="Times New Roman"/>
                <w:sz w:val="2"/>
                <w:szCs w:val="20"/>
              </w:rPr>
            </w:pPr>
          </w:p>
        </w:tc>
        <w:tc>
          <w:tcPr>
            <w:tcW w:w="13" w:type="dxa"/>
            <w:shd w:val="clear" w:color="auto" w:fill="auto"/>
          </w:tcPr>
          <w:p w:rsidR="00D91B7B" w:rsidRDefault="00D91B7B">
            <w:pPr>
              <w:spacing w:before="0" w:after="0"/>
              <w:rPr>
                <w:rFonts w:ascii="Times New Roman" w:eastAsia="Times New Roman" w:hAnsi="Times New Roman"/>
                <w:sz w:val="2"/>
                <w:szCs w:val="20"/>
              </w:rPr>
            </w:pPr>
          </w:p>
        </w:tc>
        <w:tc>
          <w:tcPr>
            <w:tcW w:w="179" w:type="dxa"/>
            <w:shd w:val="clear" w:color="auto" w:fill="auto"/>
          </w:tcPr>
          <w:p w:rsidR="00D91B7B" w:rsidRDefault="00D91B7B">
            <w:pPr>
              <w:spacing w:before="0" w:after="0"/>
              <w:rPr>
                <w:rFonts w:ascii="Times New Roman" w:eastAsia="Times New Roman" w:hAnsi="Times New Roman"/>
                <w:sz w:val="2"/>
                <w:szCs w:val="20"/>
              </w:rPr>
            </w:pPr>
          </w:p>
        </w:tc>
      </w:tr>
    </w:tbl>
    <w:p w:rsidR="00D91B7B" w:rsidRDefault="00D91B7B">
      <w:pPr>
        <w:spacing w:before="0" w:after="0"/>
        <w:rPr>
          <w:rFonts w:ascii="Times New Roman" w:eastAsia="Times New Roman" w:hAnsi="Times New Roman"/>
          <w:sz w:val="20"/>
          <w:szCs w:val="20"/>
        </w:rPr>
        <w:sectPr w:rsidR="00D91B7B">
          <w:headerReference w:type="even" r:id="rId13"/>
          <w:headerReference w:type="default" r:id="rId14"/>
          <w:footerReference w:type="even" r:id="rId15"/>
          <w:footerReference w:type="default" r:id="rId16"/>
          <w:headerReference w:type="first" r:id="rId17"/>
          <w:footerReference w:type="first" r:id="rId18"/>
          <w:pgSz w:w="16837" w:h="11905" w:orient="landscape"/>
          <w:pgMar w:top="566" w:right="566" w:bottom="566" w:left="680" w:header="0" w:footer="0" w:gutter="0"/>
          <w:cols w:space="720"/>
        </w:sectPr>
      </w:pPr>
    </w:p>
    <w:p w:rsidR="00A9707B" w:rsidRDefault="00EC4BD2" w:rsidP="008C5725">
      <w:pPr>
        <w:rPr>
          <w:rFonts w:ascii="Calibri" w:eastAsia="Calibri" w:hAnsi="Calibri" w:cs="Calibri"/>
          <w:w w:val="100"/>
        </w:rPr>
      </w:pPr>
      <w:bookmarkStart w:id="32" w:name="1_0"/>
      <w:bookmarkStart w:id="33" w:name="_Hlk32839505_0"/>
      <w:bookmarkEnd w:id="32"/>
      <w:r>
        <w:rPr>
          <w:rFonts w:ascii="Calibri" w:eastAsia="Calibri" w:hAnsi="Calibri" w:cs="Calibri"/>
          <w:w w:val="100"/>
        </w:rPr>
        <w:lastRenderedPageBreak/>
        <w:t>Понуђач је доставио понуду са свим доказима и објашњењима и понуда је у оквиру процењене вредности, па је понуда као таква прихватљива</w:t>
      </w:r>
    </w:p>
    <w:p w:rsidR="001F55F6" w:rsidRPr="00F61EC9" w:rsidRDefault="00EC4BD2"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RDefault="00EC4BD2" w:rsidP="008C5725">
      <w:pPr>
        <w:spacing w:before="120" w:after="120"/>
        <w:rPr>
          <w:rFonts w:ascii="Calibri" w:eastAsia="Calibri" w:hAnsi="Calibri" w:cs="Calibri"/>
          <w:w w:val="100"/>
          <w:sz w:val="20"/>
          <w:szCs w:val="20"/>
          <w:lang w:val="sr-Latn-BA"/>
        </w:rPr>
      </w:pPr>
      <w:bookmarkStart w:id="34" w:name="2_0"/>
      <w:bookmarkEnd w:id="33"/>
      <w:bookmarkEnd w:id="34"/>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R="001F55F6" w:rsidRPr="001F55F6" w:rsidSect="000A667E">
      <w:headerReference w:type="even" r:id="rId19"/>
      <w:headerReference w:type="default" r:id="rId20"/>
      <w:footerReference w:type="even" r:id="rId21"/>
      <w:footerReference w:type="default" r:id="rId22"/>
      <w:headerReference w:type="first" r:id="rId23"/>
      <w:footerReference w:type="first" r:id="rId24"/>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B0" w:rsidRDefault="00B76EB0">
      <w:pPr>
        <w:spacing w:before="0" w:after="0"/>
      </w:pPr>
      <w:r>
        <w:separator/>
      </w:r>
    </w:p>
  </w:endnote>
  <w:endnote w:type="continuationSeparator" w:id="0">
    <w:p w:rsidR="00B76EB0" w:rsidRDefault="00B76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EC4BD2" w:rsidP="005349E8">
    <w:pPr>
      <w:pStyle w:val="Footer"/>
      <w:tabs>
        <w:tab w:val="clear" w:pos="4680"/>
        <w:tab w:val="clear" w:pos="9360"/>
        <w:tab w:val="center" w:pos="5103"/>
        <w:tab w:val="right" w:pos="10205"/>
      </w:tabs>
      <w:rPr>
        <w:caps/>
        <w:szCs w:val="18"/>
        <w:lang w:val="hr-HR"/>
      </w:rPr>
    </w:pPr>
    <w:r>
      <w:rPr>
        <w:caps/>
        <w:noProof/>
        <w:sz w:val="12"/>
        <w:szCs w:val="12"/>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F55F6" w:rsidRP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B0" w:rsidRDefault="00B76EB0">
      <w:pPr>
        <w:spacing w:before="0" w:after="0"/>
      </w:pPr>
      <w:r>
        <w:separator/>
      </w:r>
    </w:p>
  </w:footnote>
  <w:footnote w:type="continuationSeparator" w:id="0">
    <w:p w:rsidR="00B76EB0" w:rsidRDefault="00B76E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D91B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1E3E"/>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A5D6F"/>
    <w:rsid w:val="00AC11B5"/>
    <w:rsid w:val="00AE028A"/>
    <w:rsid w:val="00B07D76"/>
    <w:rsid w:val="00B12B6B"/>
    <w:rsid w:val="00B36DFD"/>
    <w:rsid w:val="00B76EB0"/>
    <w:rsid w:val="00B84A8C"/>
    <w:rsid w:val="00BE147A"/>
    <w:rsid w:val="00C3138D"/>
    <w:rsid w:val="00C4780E"/>
    <w:rsid w:val="00CB2A20"/>
    <w:rsid w:val="00CB35CB"/>
    <w:rsid w:val="00D1225B"/>
    <w:rsid w:val="00D1691F"/>
    <w:rsid w:val="00D25CF6"/>
    <w:rsid w:val="00D4767B"/>
    <w:rsid w:val="00D91B7B"/>
    <w:rsid w:val="00DE52D6"/>
    <w:rsid w:val="00DF4791"/>
    <w:rsid w:val="00E22A9B"/>
    <w:rsid w:val="00EA7586"/>
    <w:rsid w:val="00EC4BD2"/>
    <w:rsid w:val="00F24FBF"/>
    <w:rsid w:val="00F61EC9"/>
    <w:rsid w:val="00F9120D"/>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Nina Đorđević</cp:lastModifiedBy>
  <cp:revision>2</cp:revision>
  <dcterms:created xsi:type="dcterms:W3CDTF">2021-09-14T11:48:00Z</dcterms:created>
  <dcterms:modified xsi:type="dcterms:W3CDTF">2021-09-14T11:48:00Z</dcterms:modified>
</cp:coreProperties>
</file>