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F098C" w14:textId="77777777" w:rsidR="00AE6605" w:rsidRPr="00F02471" w:rsidRDefault="00AE6605" w:rsidP="00AE6605">
      <w:pPr>
        <w:spacing w:after="160" w:line="259" w:lineRule="auto"/>
        <w:jc w:val="center"/>
        <w:rPr>
          <w:rFonts w:ascii="Verdana" w:eastAsia="Calibri" w:hAnsi="Verdana"/>
          <w:sz w:val="40"/>
          <w:szCs w:val="40"/>
          <w:lang w:val="sr-Cyrl-RS"/>
        </w:rPr>
      </w:pPr>
      <w:bookmarkStart w:id="0" w:name="_GoBack"/>
      <w:bookmarkEnd w:id="0"/>
      <w:r w:rsidRPr="00F02471">
        <w:rPr>
          <w:rFonts w:ascii="Verdana" w:eastAsia="Calibri" w:hAnsi="Verdana"/>
          <w:sz w:val="40"/>
          <w:szCs w:val="40"/>
          <w:lang w:val="sr-Cyrl-RS"/>
        </w:rPr>
        <w:t>РЕПУБЛИКА СРБИЈА</w:t>
      </w:r>
    </w:p>
    <w:p w14:paraId="650E24A3" w14:textId="77777777" w:rsidR="00AE6605" w:rsidRPr="00F02471" w:rsidRDefault="00AE6605" w:rsidP="00AE6605">
      <w:pPr>
        <w:spacing w:after="160" w:line="259" w:lineRule="auto"/>
        <w:jc w:val="center"/>
        <w:rPr>
          <w:rFonts w:ascii="Verdana" w:eastAsia="Calibri" w:hAnsi="Verdana"/>
          <w:sz w:val="40"/>
          <w:szCs w:val="40"/>
          <w:lang w:val="sr-Cyrl-RS"/>
        </w:rPr>
      </w:pPr>
      <w:r w:rsidRPr="00F02471">
        <w:rPr>
          <w:rFonts w:ascii="Verdana" w:eastAsia="Calibri" w:hAnsi="Verdana"/>
          <w:sz w:val="40"/>
          <w:szCs w:val="40"/>
          <w:lang w:val="sr-Cyrl-RS"/>
        </w:rPr>
        <w:t xml:space="preserve">ГРАД </w:t>
      </w:r>
      <w:r w:rsidR="00D36F61" w:rsidRPr="00F02471">
        <w:rPr>
          <w:rFonts w:ascii="Verdana" w:eastAsia="Calibri" w:hAnsi="Verdana"/>
          <w:sz w:val="40"/>
          <w:szCs w:val="40"/>
          <w:lang w:val="sr-Cyrl-RS"/>
        </w:rPr>
        <w:t>ПРОКУПЉЕ</w:t>
      </w:r>
    </w:p>
    <w:p w14:paraId="6AA07DD1" w14:textId="77777777" w:rsidR="00535788" w:rsidRPr="00F02471" w:rsidRDefault="00D36F61" w:rsidP="009861AB">
      <w:pPr>
        <w:jc w:val="center"/>
        <w:rPr>
          <w:rFonts w:ascii="Verdana" w:hAnsi="Verdana" w:cs="Arial"/>
          <w:b/>
          <w:iCs/>
        </w:rPr>
      </w:pPr>
      <w:r w:rsidRPr="00F02471">
        <w:rPr>
          <w:rFonts w:ascii="Verdana" w:eastAsia="Calibri" w:hAnsi="Verdana" w:cs="Calibri"/>
          <w:noProof/>
          <w:lang w:val="en-GB" w:eastAsia="en-GB"/>
        </w:rPr>
        <w:drawing>
          <wp:inline distT="0" distB="0" distL="0" distR="0" wp14:anchorId="5097C8BC" wp14:editId="69FCA957">
            <wp:extent cx="2030412" cy="2433891"/>
            <wp:effectExtent l="0" t="0" r="0" b="0"/>
            <wp:docPr id="1" name="image1.jpg" descr="COA Prokuplje.jpg"/>
            <wp:cNvGraphicFramePr/>
            <a:graphic xmlns:a="http://schemas.openxmlformats.org/drawingml/2006/main">
              <a:graphicData uri="http://schemas.openxmlformats.org/drawingml/2006/picture">
                <pic:pic xmlns:pic="http://schemas.openxmlformats.org/drawingml/2006/picture">
                  <pic:nvPicPr>
                    <pic:cNvPr id="0" name="image1.jpg" descr="COA Prokuplje.jpg"/>
                    <pic:cNvPicPr preferRelativeResize="0"/>
                  </pic:nvPicPr>
                  <pic:blipFill>
                    <a:blip r:embed="rId8"/>
                    <a:srcRect/>
                    <a:stretch>
                      <a:fillRect/>
                    </a:stretch>
                  </pic:blipFill>
                  <pic:spPr>
                    <a:xfrm>
                      <a:off x="0" y="0"/>
                      <a:ext cx="2030412" cy="2433891"/>
                    </a:xfrm>
                    <a:prstGeom prst="rect">
                      <a:avLst/>
                    </a:prstGeom>
                    <a:ln/>
                  </pic:spPr>
                </pic:pic>
              </a:graphicData>
            </a:graphic>
          </wp:inline>
        </w:drawing>
      </w:r>
    </w:p>
    <w:p w14:paraId="2A07BDC1" w14:textId="77777777" w:rsidR="009861AB" w:rsidRPr="00F02471" w:rsidRDefault="009861AB" w:rsidP="00BB17E6">
      <w:pPr>
        <w:pStyle w:val="Stext"/>
        <w:rPr>
          <w:lang w:val="sr-Latn-CS"/>
        </w:rPr>
      </w:pPr>
    </w:p>
    <w:p w14:paraId="06074E23" w14:textId="1E72D2B6" w:rsidR="00AE6605" w:rsidRPr="00F02471" w:rsidRDefault="00AE6605" w:rsidP="00577E2B">
      <w:pPr>
        <w:pStyle w:val="Stext"/>
        <w:rPr>
          <w:lang w:val="sr-Cyrl-RS"/>
        </w:rPr>
      </w:pPr>
      <w:r w:rsidRPr="00F02471">
        <w:rPr>
          <w:lang w:val="sr-Latn-CS"/>
        </w:rPr>
        <w:t xml:space="preserve">На основу </w:t>
      </w:r>
      <w:r w:rsidR="005F008C" w:rsidRPr="00F02471">
        <w:rPr>
          <w:lang w:val="sr-Latn-CS"/>
        </w:rPr>
        <w:t>члана 35, а у вези са чл. 10.</w:t>
      </w:r>
      <w:r w:rsidRPr="00F02471">
        <w:rPr>
          <w:lang w:val="sr-Latn-CS"/>
        </w:rPr>
        <w:t xml:space="preserve"> став 1</w:t>
      </w:r>
      <w:r w:rsidR="005F008C" w:rsidRPr="00F02471">
        <w:rPr>
          <w:lang w:val="sr-Latn-CS"/>
        </w:rPr>
        <w:t>.,</w:t>
      </w:r>
      <w:r w:rsidRPr="00F02471">
        <w:rPr>
          <w:lang w:val="sr-Latn-CS"/>
        </w:rPr>
        <w:t xml:space="preserve"> 20</w:t>
      </w:r>
      <w:r w:rsidR="005F008C" w:rsidRPr="00F02471">
        <w:rPr>
          <w:lang w:val="sr-Latn-CS"/>
        </w:rPr>
        <w:t>.</w:t>
      </w:r>
      <w:r w:rsidRPr="00F02471">
        <w:rPr>
          <w:lang w:val="sr-Latn-CS"/>
        </w:rPr>
        <w:t xml:space="preserve"> став 3</w:t>
      </w:r>
      <w:r w:rsidR="005F008C" w:rsidRPr="00F02471">
        <w:rPr>
          <w:lang w:val="sr-Latn-CS"/>
        </w:rPr>
        <w:t xml:space="preserve">. </w:t>
      </w:r>
      <w:r w:rsidR="005F008C" w:rsidRPr="00F02471">
        <w:rPr>
          <w:lang w:val="sr-Cyrl-RS"/>
        </w:rPr>
        <w:t>и 22.</w:t>
      </w:r>
      <w:r w:rsidRPr="00F02471">
        <w:rPr>
          <w:lang w:val="sr-Latn-CS"/>
        </w:rPr>
        <w:t xml:space="preserve"> Закона о јавно-приватном партнерству и концесијама Републике Србије ("Службени гласник РС" бр. 88/2011, 15/2016 и 104/2016) ("</w:t>
      </w:r>
      <w:r w:rsidRPr="00F02471">
        <w:rPr>
          <w:b/>
          <w:lang w:val="sr-Latn-CS"/>
        </w:rPr>
        <w:t>Закон о концесијама</w:t>
      </w:r>
      <w:r w:rsidRPr="00F02471">
        <w:rPr>
          <w:lang w:val="sr-Latn-CS"/>
        </w:rPr>
        <w:t xml:space="preserve">"), Град </w:t>
      </w:r>
      <w:r w:rsidR="00D36F61" w:rsidRPr="00F02471">
        <w:rPr>
          <w:lang w:val="sr-Cyrl-RS"/>
        </w:rPr>
        <w:t>Прокупље</w:t>
      </w:r>
      <w:r w:rsidRPr="00F02471">
        <w:rPr>
          <w:lang w:val="sr-Latn-CS"/>
        </w:rPr>
        <w:t xml:space="preserve"> ("</w:t>
      </w:r>
      <w:r w:rsidRPr="00F02471">
        <w:rPr>
          <w:b/>
          <w:lang w:val="sr-Latn-CS"/>
        </w:rPr>
        <w:t>Град</w:t>
      </w:r>
      <w:r w:rsidRPr="00F02471">
        <w:rPr>
          <w:lang w:val="sr-Latn-CS"/>
        </w:rPr>
        <w:t>"), у својству концедента, објављује овај:</w:t>
      </w:r>
    </w:p>
    <w:p w14:paraId="614D50F5" w14:textId="77777777" w:rsidR="009861AB" w:rsidRPr="00F02471" w:rsidRDefault="009861AB" w:rsidP="009861AB">
      <w:pPr>
        <w:rPr>
          <w:rFonts w:ascii="Verdana" w:hAnsi="Verdana" w:cs="Arial"/>
          <w:b/>
        </w:rPr>
      </w:pPr>
    </w:p>
    <w:p w14:paraId="6E27A257" w14:textId="77777777" w:rsidR="00AE6605" w:rsidRPr="00F02471" w:rsidRDefault="00AE6605" w:rsidP="00037A60">
      <w:pPr>
        <w:jc w:val="center"/>
        <w:rPr>
          <w:rFonts w:ascii="Verdana" w:hAnsi="Verdana" w:cs="Arial"/>
          <w:b/>
          <w:sz w:val="32"/>
          <w:szCs w:val="32"/>
        </w:rPr>
      </w:pPr>
      <w:r w:rsidRPr="00F02471">
        <w:rPr>
          <w:rFonts w:ascii="Verdana" w:hAnsi="Verdana" w:cs="Arial"/>
          <w:b/>
          <w:sz w:val="32"/>
          <w:szCs w:val="32"/>
        </w:rPr>
        <w:t>ЈАВНИ ПОЗИВ</w:t>
      </w:r>
    </w:p>
    <w:p w14:paraId="018BCD8F" w14:textId="77777777" w:rsidR="00AE6605" w:rsidRPr="00F02471" w:rsidRDefault="00AE6605" w:rsidP="00037A60">
      <w:pPr>
        <w:jc w:val="center"/>
        <w:rPr>
          <w:rFonts w:ascii="Verdana" w:hAnsi="Verdana" w:cs="Arial"/>
          <w:b/>
          <w:sz w:val="28"/>
          <w:szCs w:val="28"/>
        </w:rPr>
      </w:pPr>
    </w:p>
    <w:p w14:paraId="6B59946E" w14:textId="77777777" w:rsidR="00AE6605" w:rsidRPr="00F02471" w:rsidRDefault="00AE6605" w:rsidP="00037A60">
      <w:pPr>
        <w:spacing w:before="120" w:after="60" w:line="280" w:lineRule="atLeast"/>
        <w:jc w:val="center"/>
        <w:rPr>
          <w:rFonts w:ascii="Verdana" w:hAnsi="Verdana" w:cs="Arial"/>
        </w:rPr>
      </w:pPr>
      <w:r w:rsidRPr="00F02471">
        <w:rPr>
          <w:rFonts w:ascii="Verdana" w:hAnsi="Verdana" w:cs="Arial"/>
        </w:rPr>
        <w:t>за учествовање у поступку доделе</w:t>
      </w:r>
    </w:p>
    <w:p w14:paraId="66A0239D" w14:textId="77777777" w:rsidR="00D36F61" w:rsidRPr="00F02471" w:rsidRDefault="00D36F61" w:rsidP="00D36F61">
      <w:pPr>
        <w:jc w:val="center"/>
        <w:rPr>
          <w:rFonts w:ascii="Verdana" w:hAnsi="Verdana" w:cs="Arial"/>
          <w:b/>
        </w:rPr>
      </w:pPr>
    </w:p>
    <w:p w14:paraId="288339BE" w14:textId="77777777" w:rsidR="00D36F61" w:rsidRPr="00F02471" w:rsidRDefault="00AE6605" w:rsidP="00D36F61">
      <w:pPr>
        <w:jc w:val="center"/>
        <w:rPr>
          <w:rFonts w:ascii="Verdana" w:hAnsi="Verdana" w:cs="Arial"/>
          <w:b/>
          <w:lang w:val="sr-Cyrl-RS"/>
        </w:rPr>
      </w:pPr>
      <w:r w:rsidRPr="00F02471">
        <w:rPr>
          <w:rFonts w:ascii="Verdana" w:hAnsi="Verdana" w:cs="Arial"/>
          <w:b/>
        </w:rPr>
        <w:t>КОНЦЕСИЈЕ</w:t>
      </w:r>
      <w:r w:rsidRPr="00F02471">
        <w:rPr>
          <w:rFonts w:ascii="Verdana" w:hAnsi="Verdana" w:cs="Arial"/>
          <w:b/>
          <w:lang w:val="sr-Cyrl-RS"/>
        </w:rPr>
        <w:t xml:space="preserve"> </w:t>
      </w:r>
    </w:p>
    <w:p w14:paraId="4D4B0397" w14:textId="77777777" w:rsidR="005C37D5" w:rsidRPr="005C37D5" w:rsidRDefault="005C37D5" w:rsidP="005C37D5">
      <w:pPr>
        <w:spacing w:before="120" w:after="60" w:line="280" w:lineRule="atLeast"/>
        <w:jc w:val="center"/>
        <w:rPr>
          <w:rFonts w:ascii="Verdana" w:hAnsi="Verdana" w:cs="Arial"/>
          <w:b/>
          <w:lang w:val="sr-Cyrl-CS"/>
        </w:rPr>
      </w:pPr>
      <w:r w:rsidRPr="005C37D5">
        <w:rPr>
          <w:rFonts w:ascii="Verdana" w:hAnsi="Verdana" w:cs="Arial"/>
          <w:b/>
          <w:lang w:val="sr-Cyrl-CS"/>
        </w:rPr>
        <w:t xml:space="preserve">за финансирање, управљање и обављање </w:t>
      </w:r>
      <w:proofErr w:type="spellStart"/>
      <w:r w:rsidRPr="005C37D5">
        <w:rPr>
          <w:rFonts w:ascii="Verdana" w:hAnsi="Verdana" w:cs="Arial"/>
          <w:b/>
          <w:bCs/>
          <w:lang w:val="en-US"/>
        </w:rPr>
        <w:t>комуналних</w:t>
      </w:r>
      <w:proofErr w:type="spellEnd"/>
      <w:r w:rsidRPr="005C37D5">
        <w:rPr>
          <w:rFonts w:ascii="Verdana" w:hAnsi="Verdana" w:cs="Arial"/>
          <w:b/>
          <w:bCs/>
          <w:lang w:val="en-US"/>
        </w:rPr>
        <w:t xml:space="preserve"> </w:t>
      </w:r>
      <w:proofErr w:type="spellStart"/>
      <w:r w:rsidRPr="005C37D5">
        <w:rPr>
          <w:rFonts w:ascii="Verdana" w:hAnsi="Verdana" w:cs="Arial"/>
          <w:b/>
          <w:bCs/>
          <w:lang w:val="en-US"/>
        </w:rPr>
        <w:t>делатности</w:t>
      </w:r>
      <w:proofErr w:type="spellEnd"/>
      <w:r w:rsidRPr="005C37D5">
        <w:rPr>
          <w:rFonts w:ascii="Verdana" w:hAnsi="Verdana" w:cs="Arial"/>
          <w:b/>
          <w:bCs/>
          <w:lang w:val="en-US"/>
        </w:rPr>
        <w:t xml:space="preserve"> </w:t>
      </w:r>
      <w:r w:rsidRPr="005C37D5">
        <w:rPr>
          <w:rFonts w:ascii="Verdana" w:hAnsi="Verdana" w:cs="Arial"/>
          <w:b/>
          <w:bCs/>
          <w:lang w:val="sr-Cyrl-RS"/>
        </w:rPr>
        <w:t xml:space="preserve">везаних за </w:t>
      </w:r>
      <w:proofErr w:type="spellStart"/>
      <w:r w:rsidRPr="005C37D5">
        <w:rPr>
          <w:rFonts w:ascii="Verdana" w:hAnsi="Verdana" w:cs="Arial"/>
          <w:b/>
          <w:bCs/>
          <w:lang w:val="en-US"/>
        </w:rPr>
        <w:t>паркинг</w:t>
      </w:r>
      <w:proofErr w:type="spellEnd"/>
      <w:r w:rsidRPr="005C37D5">
        <w:rPr>
          <w:rFonts w:ascii="Verdana" w:hAnsi="Verdana" w:cs="Arial"/>
          <w:b/>
          <w:bCs/>
          <w:lang w:val="sr-Cyrl-RS"/>
        </w:rPr>
        <w:t xml:space="preserve"> </w:t>
      </w:r>
      <w:proofErr w:type="spellStart"/>
      <w:r w:rsidRPr="005C37D5">
        <w:rPr>
          <w:rFonts w:ascii="Verdana" w:hAnsi="Verdana" w:cs="Arial"/>
          <w:b/>
          <w:bCs/>
          <w:lang w:val="en-US"/>
        </w:rPr>
        <w:t>места</w:t>
      </w:r>
      <w:proofErr w:type="spellEnd"/>
      <w:r w:rsidRPr="005C37D5">
        <w:rPr>
          <w:rFonts w:ascii="Verdana" w:hAnsi="Verdana" w:cs="Arial"/>
          <w:b/>
          <w:bCs/>
          <w:lang w:val="en-US"/>
        </w:rPr>
        <w:t xml:space="preserve">, </w:t>
      </w:r>
      <w:proofErr w:type="spellStart"/>
      <w:r w:rsidRPr="005C37D5">
        <w:rPr>
          <w:rFonts w:ascii="Verdana" w:hAnsi="Verdana" w:cs="Arial"/>
          <w:b/>
          <w:bCs/>
          <w:lang w:val="en-US"/>
        </w:rPr>
        <w:t>чистоћу</w:t>
      </w:r>
      <w:proofErr w:type="spellEnd"/>
      <w:r w:rsidRPr="005C37D5">
        <w:rPr>
          <w:rFonts w:ascii="Verdana" w:hAnsi="Verdana" w:cs="Arial"/>
          <w:b/>
          <w:bCs/>
          <w:lang w:val="en-US"/>
        </w:rPr>
        <w:t xml:space="preserve"> </w:t>
      </w:r>
      <w:proofErr w:type="spellStart"/>
      <w:r w:rsidRPr="005C37D5">
        <w:rPr>
          <w:rFonts w:ascii="Verdana" w:hAnsi="Verdana" w:cs="Arial"/>
          <w:b/>
          <w:bCs/>
          <w:lang w:val="en-US"/>
        </w:rPr>
        <w:t>града</w:t>
      </w:r>
      <w:proofErr w:type="spellEnd"/>
      <w:r w:rsidRPr="005C37D5">
        <w:rPr>
          <w:rFonts w:ascii="Verdana" w:hAnsi="Verdana" w:cs="Arial"/>
          <w:b/>
          <w:bCs/>
          <w:lang w:val="en-US"/>
        </w:rPr>
        <w:t xml:space="preserve">, </w:t>
      </w:r>
      <w:proofErr w:type="spellStart"/>
      <w:r w:rsidRPr="005C37D5">
        <w:rPr>
          <w:rFonts w:ascii="Verdana" w:hAnsi="Verdana" w:cs="Arial"/>
          <w:b/>
          <w:bCs/>
          <w:lang w:val="en-US"/>
        </w:rPr>
        <w:t>градске</w:t>
      </w:r>
      <w:proofErr w:type="spellEnd"/>
      <w:r w:rsidRPr="005C37D5">
        <w:rPr>
          <w:rFonts w:ascii="Verdana" w:hAnsi="Verdana" w:cs="Arial"/>
          <w:b/>
          <w:bCs/>
          <w:lang w:val="en-US"/>
        </w:rPr>
        <w:t xml:space="preserve"> </w:t>
      </w:r>
      <w:proofErr w:type="spellStart"/>
      <w:r w:rsidRPr="005C37D5">
        <w:rPr>
          <w:rFonts w:ascii="Verdana" w:hAnsi="Verdana" w:cs="Arial"/>
          <w:b/>
          <w:bCs/>
          <w:lang w:val="en-US"/>
        </w:rPr>
        <w:t>тржниц</w:t>
      </w:r>
      <w:proofErr w:type="spellEnd"/>
      <w:r w:rsidRPr="005C37D5">
        <w:rPr>
          <w:rFonts w:ascii="Verdana" w:hAnsi="Verdana" w:cs="Arial"/>
          <w:b/>
          <w:bCs/>
          <w:lang w:val="sr-Cyrl-RS"/>
        </w:rPr>
        <w:t>е</w:t>
      </w:r>
      <w:r w:rsidRPr="005C37D5">
        <w:rPr>
          <w:rFonts w:ascii="Verdana" w:hAnsi="Verdana" w:cs="Arial"/>
          <w:b/>
          <w:bCs/>
          <w:lang w:val="en-US"/>
        </w:rPr>
        <w:t xml:space="preserve"> и </w:t>
      </w:r>
      <w:proofErr w:type="spellStart"/>
      <w:r w:rsidRPr="005C37D5">
        <w:rPr>
          <w:rFonts w:ascii="Verdana" w:hAnsi="Verdana" w:cs="Arial"/>
          <w:b/>
          <w:bCs/>
          <w:lang w:val="en-US"/>
        </w:rPr>
        <w:t>градско</w:t>
      </w:r>
      <w:proofErr w:type="spellEnd"/>
      <w:r w:rsidRPr="005C37D5">
        <w:rPr>
          <w:rFonts w:ascii="Verdana" w:hAnsi="Verdana" w:cs="Arial"/>
          <w:b/>
          <w:bCs/>
          <w:lang w:val="en-US"/>
        </w:rPr>
        <w:t xml:space="preserve"> </w:t>
      </w:r>
      <w:proofErr w:type="spellStart"/>
      <w:r w:rsidRPr="005C37D5">
        <w:rPr>
          <w:rFonts w:ascii="Verdana" w:hAnsi="Verdana" w:cs="Arial"/>
          <w:b/>
          <w:bCs/>
          <w:lang w:val="en-US"/>
        </w:rPr>
        <w:t>зеленило</w:t>
      </w:r>
      <w:proofErr w:type="spellEnd"/>
      <w:r w:rsidRPr="005C37D5">
        <w:rPr>
          <w:rFonts w:ascii="Verdana" w:hAnsi="Verdana" w:cs="Arial"/>
          <w:b/>
          <w:bCs/>
          <w:lang w:val="sr-Cyrl-RS"/>
        </w:rPr>
        <w:t xml:space="preserve"> </w:t>
      </w:r>
      <w:r w:rsidRPr="005C37D5">
        <w:rPr>
          <w:rFonts w:ascii="Verdana" w:hAnsi="Verdana" w:cs="Arial"/>
          <w:b/>
          <w:lang w:val="sr-Cyrl-CS"/>
        </w:rPr>
        <w:t>у Граду Прокупљу</w:t>
      </w:r>
    </w:p>
    <w:p w14:paraId="51D5A254" w14:textId="77777777" w:rsidR="00550950" w:rsidRPr="00F02471" w:rsidRDefault="00550950" w:rsidP="00550950">
      <w:pPr>
        <w:spacing w:before="120" w:after="60" w:line="280" w:lineRule="atLeast"/>
        <w:jc w:val="center"/>
        <w:rPr>
          <w:rFonts w:ascii="Verdana" w:hAnsi="Verdana"/>
          <w:b/>
          <w:sz w:val="28"/>
        </w:rPr>
      </w:pPr>
    </w:p>
    <w:p w14:paraId="0BC14EA1" w14:textId="77777777" w:rsidR="00A11E5E" w:rsidRPr="00F02471" w:rsidRDefault="00AE6605" w:rsidP="005C37D5">
      <w:pPr>
        <w:jc w:val="both"/>
        <w:rPr>
          <w:rFonts w:ascii="Verdana" w:hAnsi="Verdana"/>
          <w:lang w:val="sr-Cyrl-CS"/>
        </w:rPr>
      </w:pPr>
      <w:r w:rsidRPr="00F02471">
        <w:rPr>
          <w:rFonts w:ascii="Verdana" w:hAnsi="Verdana"/>
          <w:lang w:val="sr-Cyrl-RS"/>
        </w:rPr>
        <w:t>Г</w:t>
      </w:r>
      <w:r w:rsidRPr="00F02471">
        <w:rPr>
          <w:rFonts w:ascii="Verdana" w:hAnsi="Verdana"/>
        </w:rPr>
        <w:t>рад позива сва заинтересована домаћа и страна правна и физичка лица која испуњавају услове из овог јавног позива ("</w:t>
      </w:r>
      <w:r w:rsidRPr="00F02471">
        <w:rPr>
          <w:rFonts w:ascii="Verdana" w:hAnsi="Verdana"/>
          <w:b/>
        </w:rPr>
        <w:t>Јавни позив</w:t>
      </w:r>
      <w:r w:rsidRPr="00F02471">
        <w:rPr>
          <w:rFonts w:ascii="Verdana" w:hAnsi="Verdana"/>
        </w:rPr>
        <w:t xml:space="preserve">") да учествују у поступку доделе концесије </w:t>
      </w:r>
      <w:r w:rsidR="005C37D5" w:rsidRPr="005C37D5">
        <w:rPr>
          <w:rFonts w:ascii="Verdana" w:hAnsi="Verdana"/>
          <w:lang w:val="sr-Cyrl-CS"/>
        </w:rPr>
        <w:t xml:space="preserve">за финансирање, управљање и обављање </w:t>
      </w:r>
      <w:proofErr w:type="spellStart"/>
      <w:r w:rsidR="005C37D5" w:rsidRPr="005C37D5">
        <w:rPr>
          <w:rFonts w:ascii="Verdana" w:hAnsi="Verdana"/>
          <w:bCs/>
          <w:lang w:val="en-US"/>
        </w:rPr>
        <w:t>комуналних</w:t>
      </w:r>
      <w:proofErr w:type="spellEnd"/>
      <w:r w:rsidR="005C37D5" w:rsidRPr="005C37D5">
        <w:rPr>
          <w:rFonts w:ascii="Verdana" w:hAnsi="Verdana"/>
          <w:bCs/>
          <w:lang w:val="en-US"/>
        </w:rPr>
        <w:t xml:space="preserve"> </w:t>
      </w:r>
      <w:proofErr w:type="spellStart"/>
      <w:r w:rsidR="005C37D5" w:rsidRPr="005C37D5">
        <w:rPr>
          <w:rFonts w:ascii="Verdana" w:hAnsi="Verdana"/>
          <w:bCs/>
          <w:lang w:val="en-US"/>
        </w:rPr>
        <w:t>делатности</w:t>
      </w:r>
      <w:proofErr w:type="spellEnd"/>
      <w:r w:rsidR="005C37D5" w:rsidRPr="005C37D5">
        <w:rPr>
          <w:rFonts w:ascii="Verdana" w:hAnsi="Verdana"/>
          <w:bCs/>
          <w:lang w:val="en-US"/>
        </w:rPr>
        <w:t xml:space="preserve"> </w:t>
      </w:r>
      <w:r w:rsidR="005C37D5" w:rsidRPr="005C37D5">
        <w:rPr>
          <w:rFonts w:ascii="Verdana" w:hAnsi="Verdana"/>
          <w:bCs/>
          <w:lang w:val="sr-Cyrl-RS"/>
        </w:rPr>
        <w:t xml:space="preserve">везаних за </w:t>
      </w:r>
      <w:proofErr w:type="spellStart"/>
      <w:r w:rsidR="005C37D5" w:rsidRPr="005C37D5">
        <w:rPr>
          <w:rFonts w:ascii="Verdana" w:hAnsi="Verdana"/>
          <w:bCs/>
          <w:lang w:val="en-US"/>
        </w:rPr>
        <w:t>паркинг</w:t>
      </w:r>
      <w:proofErr w:type="spellEnd"/>
      <w:r w:rsidR="005C37D5" w:rsidRPr="005C37D5">
        <w:rPr>
          <w:rFonts w:ascii="Verdana" w:hAnsi="Verdana"/>
          <w:bCs/>
          <w:lang w:val="sr-Cyrl-RS"/>
        </w:rPr>
        <w:t xml:space="preserve"> </w:t>
      </w:r>
      <w:proofErr w:type="spellStart"/>
      <w:r w:rsidR="005C37D5" w:rsidRPr="005C37D5">
        <w:rPr>
          <w:rFonts w:ascii="Verdana" w:hAnsi="Verdana"/>
          <w:bCs/>
          <w:lang w:val="en-US"/>
        </w:rPr>
        <w:t>места</w:t>
      </w:r>
      <w:proofErr w:type="spellEnd"/>
      <w:r w:rsidR="005C37D5" w:rsidRPr="005C37D5">
        <w:rPr>
          <w:rFonts w:ascii="Verdana" w:hAnsi="Verdana"/>
          <w:bCs/>
          <w:lang w:val="en-US"/>
        </w:rPr>
        <w:t xml:space="preserve">, </w:t>
      </w:r>
      <w:proofErr w:type="spellStart"/>
      <w:r w:rsidR="005C37D5" w:rsidRPr="005C37D5">
        <w:rPr>
          <w:rFonts w:ascii="Verdana" w:hAnsi="Verdana"/>
          <w:bCs/>
          <w:lang w:val="en-US"/>
        </w:rPr>
        <w:t>чистоћу</w:t>
      </w:r>
      <w:proofErr w:type="spellEnd"/>
      <w:r w:rsidR="005C37D5" w:rsidRPr="005C37D5">
        <w:rPr>
          <w:rFonts w:ascii="Verdana" w:hAnsi="Verdana"/>
          <w:bCs/>
          <w:lang w:val="en-US"/>
        </w:rPr>
        <w:t xml:space="preserve"> </w:t>
      </w:r>
      <w:proofErr w:type="spellStart"/>
      <w:r w:rsidR="005C37D5" w:rsidRPr="005C37D5">
        <w:rPr>
          <w:rFonts w:ascii="Verdana" w:hAnsi="Verdana"/>
          <w:bCs/>
          <w:lang w:val="en-US"/>
        </w:rPr>
        <w:t>града</w:t>
      </w:r>
      <w:proofErr w:type="spellEnd"/>
      <w:r w:rsidR="005C37D5" w:rsidRPr="005C37D5">
        <w:rPr>
          <w:rFonts w:ascii="Verdana" w:hAnsi="Verdana"/>
          <w:bCs/>
          <w:lang w:val="en-US"/>
        </w:rPr>
        <w:t xml:space="preserve">, </w:t>
      </w:r>
      <w:proofErr w:type="spellStart"/>
      <w:r w:rsidR="005C37D5" w:rsidRPr="005C37D5">
        <w:rPr>
          <w:rFonts w:ascii="Verdana" w:hAnsi="Verdana"/>
          <w:bCs/>
          <w:lang w:val="en-US"/>
        </w:rPr>
        <w:t>градске</w:t>
      </w:r>
      <w:proofErr w:type="spellEnd"/>
      <w:r w:rsidR="005C37D5" w:rsidRPr="005C37D5">
        <w:rPr>
          <w:rFonts w:ascii="Verdana" w:hAnsi="Verdana"/>
          <w:bCs/>
          <w:lang w:val="en-US"/>
        </w:rPr>
        <w:t xml:space="preserve"> </w:t>
      </w:r>
      <w:proofErr w:type="spellStart"/>
      <w:r w:rsidR="005C37D5" w:rsidRPr="005C37D5">
        <w:rPr>
          <w:rFonts w:ascii="Verdana" w:hAnsi="Verdana"/>
          <w:bCs/>
          <w:lang w:val="en-US"/>
        </w:rPr>
        <w:t>тржниц</w:t>
      </w:r>
      <w:proofErr w:type="spellEnd"/>
      <w:r w:rsidR="005C37D5" w:rsidRPr="005C37D5">
        <w:rPr>
          <w:rFonts w:ascii="Verdana" w:hAnsi="Verdana"/>
          <w:bCs/>
          <w:lang w:val="sr-Cyrl-RS"/>
        </w:rPr>
        <w:t>е</w:t>
      </w:r>
      <w:r w:rsidR="005C37D5" w:rsidRPr="005C37D5">
        <w:rPr>
          <w:rFonts w:ascii="Verdana" w:hAnsi="Verdana"/>
          <w:bCs/>
          <w:lang w:val="en-US"/>
        </w:rPr>
        <w:t xml:space="preserve"> и </w:t>
      </w:r>
      <w:proofErr w:type="spellStart"/>
      <w:r w:rsidR="005C37D5" w:rsidRPr="005C37D5">
        <w:rPr>
          <w:rFonts w:ascii="Verdana" w:hAnsi="Verdana"/>
          <w:bCs/>
          <w:lang w:val="en-US"/>
        </w:rPr>
        <w:t>градско</w:t>
      </w:r>
      <w:proofErr w:type="spellEnd"/>
      <w:r w:rsidR="005C37D5" w:rsidRPr="005C37D5">
        <w:rPr>
          <w:rFonts w:ascii="Verdana" w:hAnsi="Verdana"/>
          <w:bCs/>
          <w:lang w:val="en-US"/>
        </w:rPr>
        <w:t xml:space="preserve"> </w:t>
      </w:r>
      <w:proofErr w:type="spellStart"/>
      <w:r w:rsidR="005C37D5" w:rsidRPr="005C37D5">
        <w:rPr>
          <w:rFonts w:ascii="Verdana" w:hAnsi="Verdana"/>
          <w:bCs/>
          <w:lang w:val="en-US"/>
        </w:rPr>
        <w:t>зеленило</w:t>
      </w:r>
      <w:proofErr w:type="spellEnd"/>
      <w:r w:rsidR="005C37D5" w:rsidRPr="005C37D5">
        <w:rPr>
          <w:rFonts w:ascii="Verdana" w:hAnsi="Verdana"/>
          <w:bCs/>
          <w:lang w:val="sr-Cyrl-RS"/>
        </w:rPr>
        <w:t xml:space="preserve"> </w:t>
      </w:r>
      <w:r w:rsidR="005C37D5" w:rsidRPr="005C37D5">
        <w:rPr>
          <w:rFonts w:ascii="Verdana" w:hAnsi="Verdana"/>
          <w:lang w:val="sr-Cyrl-CS"/>
        </w:rPr>
        <w:t>у Граду Прокупљу</w:t>
      </w:r>
      <w:r w:rsidR="005C37D5">
        <w:rPr>
          <w:rFonts w:ascii="Verdana" w:hAnsi="Verdana"/>
          <w:lang w:val="en-US"/>
        </w:rPr>
        <w:t xml:space="preserve"> </w:t>
      </w:r>
      <w:r w:rsidR="000E14DA" w:rsidRPr="00F02471">
        <w:rPr>
          <w:rFonts w:ascii="Verdana" w:hAnsi="Verdana"/>
        </w:rPr>
        <w:t>("</w:t>
      </w:r>
      <w:r w:rsidR="00AF69E9" w:rsidRPr="00F02471">
        <w:rPr>
          <w:rFonts w:ascii="Verdana" w:hAnsi="Verdana"/>
          <w:b/>
        </w:rPr>
        <w:t>Концесија</w:t>
      </w:r>
      <w:r w:rsidR="000E14DA" w:rsidRPr="00F02471">
        <w:rPr>
          <w:rFonts w:ascii="Verdana" w:hAnsi="Verdana"/>
        </w:rPr>
        <w:t>").</w:t>
      </w:r>
    </w:p>
    <w:p w14:paraId="11F22F5D" w14:textId="77777777" w:rsidR="00307DD9" w:rsidRPr="00F02471" w:rsidRDefault="00307DD9" w:rsidP="000E14DA">
      <w:pPr>
        <w:pStyle w:val="Stext"/>
        <w:rPr>
          <w:b/>
          <w:sz w:val="28"/>
          <w:lang w:val="sr-Latn-CS"/>
        </w:rPr>
      </w:pPr>
    </w:p>
    <w:p w14:paraId="130FB118" w14:textId="77777777" w:rsidR="0017675D" w:rsidRPr="00F02471" w:rsidRDefault="00AE6605" w:rsidP="0017675D">
      <w:pPr>
        <w:pStyle w:val="Sheading1"/>
        <w:rPr>
          <w:lang w:val="sr-Latn-CS"/>
        </w:rPr>
      </w:pPr>
      <w:r w:rsidRPr="00F02471">
        <w:rPr>
          <w:lang w:val="sr-Cyrl-RS"/>
        </w:rPr>
        <w:lastRenderedPageBreak/>
        <w:t>Контакт подаци Града</w:t>
      </w:r>
    </w:p>
    <w:tbl>
      <w:tblPr>
        <w:tblStyle w:val="TableGrid"/>
        <w:tblW w:w="0" w:type="auto"/>
        <w:tblInd w:w="6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7117"/>
      </w:tblGrid>
      <w:tr w:rsidR="0017675D" w:rsidRPr="00F02471" w14:paraId="758784EA" w14:textId="77777777" w:rsidTr="005B4BDB">
        <w:trPr>
          <w:trHeight w:val="632"/>
        </w:trPr>
        <w:tc>
          <w:tcPr>
            <w:tcW w:w="7117" w:type="dxa"/>
          </w:tcPr>
          <w:p w14:paraId="5C09A2EF" w14:textId="3FC874F0" w:rsidR="00AE6605" w:rsidRPr="00F02471" w:rsidRDefault="00350D85">
            <w:pPr>
              <w:rPr>
                <w:rFonts w:ascii="Verdana" w:hAnsi="Verdana"/>
                <w:sz w:val="20"/>
                <w:szCs w:val="20"/>
                <w:lang w:val="sr-Cyrl-CS"/>
              </w:rPr>
            </w:pPr>
            <w:r w:rsidRPr="00350D85">
              <w:rPr>
                <w:rFonts w:ascii="Verdana" w:hAnsi="Verdana"/>
                <w:sz w:val="20"/>
                <w:szCs w:val="20"/>
                <w:lang w:val="sr-Cyrl-RS"/>
              </w:rPr>
              <w:t>Угљеша Костић</w:t>
            </w:r>
            <w:r w:rsidR="00F220EE" w:rsidRPr="00F02471">
              <w:rPr>
                <w:rFonts w:ascii="Verdana" w:hAnsi="Verdana"/>
              </w:rPr>
              <w:t xml:space="preserve">, </w:t>
            </w:r>
            <w:r w:rsidR="00AE6605" w:rsidRPr="00F02471">
              <w:rPr>
                <w:rFonts w:ascii="Verdana" w:hAnsi="Verdana"/>
                <w:sz w:val="20"/>
                <w:szCs w:val="20"/>
                <w:lang w:val="sr-Cyrl-CS"/>
              </w:rPr>
              <w:t>члан Стручног тима</w:t>
            </w:r>
          </w:p>
          <w:p w14:paraId="78BC9405" w14:textId="77777777" w:rsidR="0017675D" w:rsidRPr="00F02471" w:rsidRDefault="0017675D" w:rsidP="000E14DA">
            <w:pPr>
              <w:pStyle w:val="Stext"/>
              <w:rPr>
                <w:lang w:val="sr-Latn-CS"/>
              </w:rPr>
            </w:pPr>
          </w:p>
        </w:tc>
      </w:tr>
      <w:tr w:rsidR="0017675D" w:rsidRPr="00F02471" w14:paraId="0E2C6DD9" w14:textId="77777777" w:rsidTr="005B4BDB">
        <w:tc>
          <w:tcPr>
            <w:tcW w:w="7117" w:type="dxa"/>
          </w:tcPr>
          <w:p w14:paraId="6B030402" w14:textId="77777777" w:rsidR="0017675D" w:rsidRPr="00F02471" w:rsidRDefault="0017675D" w:rsidP="005B4BDB">
            <w:pPr>
              <w:pStyle w:val="Stext1"/>
              <w:ind w:left="0"/>
              <w:rPr>
                <w:lang w:val="sr-Cyrl-RS" w:eastAsia="en-US"/>
              </w:rPr>
            </w:pPr>
            <w:r w:rsidRPr="00F02471">
              <w:rPr>
                <w:lang w:val="sr-Latn-CS" w:eastAsia="en-US"/>
              </w:rPr>
              <w:t xml:space="preserve">A: </w:t>
            </w:r>
            <w:r w:rsidR="00D36F61" w:rsidRPr="00F02471">
              <w:rPr>
                <w:lang w:val="sr-Cyrl-CS" w:eastAsia="en-US"/>
              </w:rPr>
              <w:t>Никодија Стојановића бр.2, 18400 Прокупље</w:t>
            </w:r>
            <w:r w:rsidR="00F220EE" w:rsidRPr="00F02471">
              <w:rPr>
                <w:lang w:val="sr-Latn-CS" w:eastAsia="en-US"/>
              </w:rPr>
              <w:t xml:space="preserve">, </w:t>
            </w:r>
            <w:r w:rsidR="00AE6605" w:rsidRPr="00F02471">
              <w:rPr>
                <w:lang w:val="sr-Cyrl-RS" w:eastAsia="en-US"/>
              </w:rPr>
              <w:t>Србија</w:t>
            </w:r>
          </w:p>
          <w:p w14:paraId="6DBDBC6E" w14:textId="77777777" w:rsidR="00AC64B1" w:rsidRPr="00F02471" w:rsidRDefault="00AC64B1" w:rsidP="005B4BDB">
            <w:pPr>
              <w:pStyle w:val="Stext1"/>
              <w:ind w:left="0"/>
              <w:rPr>
                <w:lang w:val="sr-Cyrl-RS" w:eastAsia="en-US"/>
              </w:rPr>
            </w:pPr>
            <w:r w:rsidRPr="00F02471">
              <w:rPr>
                <w:lang w:val="sr-Latn-CS" w:eastAsia="en-US"/>
              </w:rPr>
              <w:t xml:space="preserve">W: </w:t>
            </w:r>
            <w:r w:rsidR="00837389">
              <w:fldChar w:fldCharType="begin"/>
            </w:r>
            <w:r w:rsidR="00837389">
              <w:instrText xml:space="preserve"> HYPERLINK "https://prokuplje.org.rs/" </w:instrText>
            </w:r>
            <w:r w:rsidR="00837389">
              <w:fldChar w:fldCharType="separate"/>
            </w:r>
            <w:r w:rsidR="00D36F61" w:rsidRPr="00F02471">
              <w:rPr>
                <w:rStyle w:val="Hyperlink"/>
                <w:lang w:val="sr-Latn-CS" w:eastAsia="en-US"/>
              </w:rPr>
              <w:t>https://prokuplje.org.rs/</w:t>
            </w:r>
            <w:r w:rsidR="00837389">
              <w:rPr>
                <w:rStyle w:val="Hyperlink"/>
                <w:lang w:val="sr-Latn-CS" w:eastAsia="en-US"/>
              </w:rPr>
              <w:fldChar w:fldCharType="end"/>
            </w:r>
          </w:p>
          <w:p w14:paraId="22F2C3F8" w14:textId="77777777" w:rsidR="00AE6605" w:rsidRPr="00F02471" w:rsidRDefault="00AE6605" w:rsidP="005B4BDB">
            <w:pPr>
              <w:pStyle w:val="Stext1"/>
              <w:ind w:left="0"/>
              <w:rPr>
                <w:lang w:val="sr-Latn-CS" w:eastAsia="en-US"/>
              </w:rPr>
            </w:pPr>
          </w:p>
          <w:p w14:paraId="5654CC3F" w14:textId="77777777" w:rsidR="0017675D" w:rsidRPr="00F02471" w:rsidRDefault="0017675D" w:rsidP="00D04E50">
            <w:pPr>
              <w:pStyle w:val="Stext1"/>
              <w:ind w:left="0"/>
              <w:rPr>
                <w:lang w:val="sr-Latn-CS" w:eastAsia="en-US"/>
              </w:rPr>
            </w:pPr>
            <w:r w:rsidRPr="00F02471">
              <w:rPr>
                <w:lang w:val="sr-Latn-CS" w:eastAsia="en-US"/>
              </w:rPr>
              <w:t xml:space="preserve">E: </w:t>
            </w:r>
            <w:r w:rsidR="00D04E50">
              <w:rPr>
                <w:rStyle w:val="Hyperlink"/>
                <w:lang w:val="sr-Cyrl-RS" w:eastAsia="en-US"/>
              </w:rPr>
              <w:t>nabavke.opstina.pk</w:t>
            </w:r>
            <w:r w:rsidR="00D36F61" w:rsidRPr="00F02471">
              <w:rPr>
                <w:rStyle w:val="Hyperlink"/>
                <w:lang w:val="sr-Cyrl-RS" w:eastAsia="en-US"/>
              </w:rPr>
              <w:t>@</w:t>
            </w:r>
            <w:r w:rsidR="00D04E50">
              <w:rPr>
                <w:rStyle w:val="Hyperlink"/>
                <w:lang w:val="sr-Latn-RS" w:eastAsia="en-US"/>
              </w:rPr>
              <w:t>gmail.com</w:t>
            </w:r>
          </w:p>
        </w:tc>
      </w:tr>
    </w:tbl>
    <w:p w14:paraId="597ED2F4" w14:textId="77777777" w:rsidR="002F02F3" w:rsidRPr="00490760" w:rsidRDefault="002F02F3" w:rsidP="00490760">
      <w:pPr>
        <w:pStyle w:val="Sheading1"/>
        <w:rPr>
          <w:lang w:val="sr-Latn-CS"/>
        </w:rPr>
      </w:pPr>
      <w:r w:rsidRPr="00F02471">
        <w:rPr>
          <w:lang w:val="sr-Latn-CS"/>
        </w:rPr>
        <w:t>Подаци о Концесији</w:t>
      </w:r>
    </w:p>
    <w:p w14:paraId="716FD286" w14:textId="77777777" w:rsidR="00254E76" w:rsidRPr="00F02471" w:rsidRDefault="005C37D5" w:rsidP="00254E76">
      <w:pPr>
        <w:pStyle w:val="Sheading2"/>
        <w:rPr>
          <w:lang w:val="sr-Latn-CS"/>
        </w:rPr>
      </w:pPr>
      <w:r>
        <w:rPr>
          <w:lang w:val="sr-Cyrl-RS"/>
        </w:rPr>
        <w:t>Правни основ</w:t>
      </w:r>
    </w:p>
    <w:p w14:paraId="69EC507E" w14:textId="77777777" w:rsidR="005C37D5" w:rsidRPr="005C37D5" w:rsidRDefault="005C37D5" w:rsidP="005C37D5">
      <w:pPr>
        <w:pStyle w:val="Sheading2"/>
        <w:numPr>
          <w:ilvl w:val="0"/>
          <w:numId w:val="0"/>
        </w:numPr>
        <w:ind w:left="680"/>
        <w:rPr>
          <w:lang w:val="sr-Latn-CS" w:eastAsia="zh-TW"/>
        </w:rPr>
      </w:pPr>
      <w:r w:rsidRPr="005C37D5">
        <w:rPr>
          <w:lang w:val="sr-Latn-CS" w:eastAsia="zh-TW"/>
        </w:rPr>
        <w:t xml:space="preserve">Члан 10, став 1. </w:t>
      </w:r>
      <w:r>
        <w:rPr>
          <w:lang w:val="sr-Cyrl-RS" w:eastAsia="zh-TW"/>
        </w:rPr>
        <w:t>Закона о јавно-приватном партнерству и концесијама (</w:t>
      </w:r>
      <w:r>
        <w:rPr>
          <w:lang w:val="sr-Latn-CS" w:eastAsia="zh-TW"/>
        </w:rPr>
        <w:t>Закон</w:t>
      </w:r>
      <w:r w:rsidRPr="005C37D5">
        <w:rPr>
          <w:lang w:val="sr-Latn-CS" w:eastAsia="zh-TW"/>
        </w:rPr>
        <w:t xml:space="preserve"> о ЈПП-у</w:t>
      </w:r>
      <w:r>
        <w:rPr>
          <w:lang w:val="sr-Cyrl-RS" w:eastAsia="zh-TW"/>
        </w:rPr>
        <w:t>)</w:t>
      </w:r>
      <w:r w:rsidRPr="005C37D5">
        <w:rPr>
          <w:lang w:val="sr-Latn-CS" w:eastAsia="zh-TW"/>
        </w:rPr>
        <w:t xml:space="preserve"> дефинише да је концесија, у смислу овог закона, уговорно или институционално ЈПП са елементима концесије у коме је јавним уговором уређено комерцијално коришћење природног богатства, добра у општој употреби која су у јавној својини, односно добра у својини јавног тела или обављања делатности од општег интереса, које јавни партнер уступа приватном партнеру, на одређено време, под посебно прописаним условима, уз плаћање концесионе накнаде од стране приватног, односно јавног партнера, при чему приватни партнер сноси ризик везан за комерцијално коришћење предмета концесије.</w:t>
      </w:r>
    </w:p>
    <w:p w14:paraId="29D8EEAE" w14:textId="77777777" w:rsidR="005C37D5" w:rsidRPr="005C37D5" w:rsidRDefault="005C37D5" w:rsidP="005C37D5">
      <w:pPr>
        <w:pStyle w:val="Sheading2"/>
        <w:numPr>
          <w:ilvl w:val="0"/>
          <w:numId w:val="0"/>
        </w:numPr>
        <w:ind w:left="680"/>
        <w:rPr>
          <w:lang w:val="sr-Latn-CS" w:eastAsia="zh-TW"/>
        </w:rPr>
      </w:pPr>
      <w:r w:rsidRPr="005C37D5">
        <w:rPr>
          <w:lang w:val="sr-Latn-CS" w:eastAsia="zh-TW"/>
        </w:rPr>
        <w:t xml:space="preserve">Члан 11, став 1 Закона о ЈПП-у предвиђа да се може дати концесија за (а) комерцијалну употребу средстава у својини јавног тела или (б) за обављање делатности од општег интереса, а посебно за конкретну листу активности наведених у овом члану, међу којима стоји и у области комуналних делатности. </w:t>
      </w:r>
    </w:p>
    <w:p w14:paraId="02495B30" w14:textId="77777777" w:rsidR="005C37D5" w:rsidRDefault="005C37D5" w:rsidP="005C37D5">
      <w:pPr>
        <w:pStyle w:val="Sheading2"/>
        <w:numPr>
          <w:ilvl w:val="0"/>
          <w:numId w:val="0"/>
        </w:numPr>
        <w:ind w:left="680"/>
        <w:rPr>
          <w:lang w:val="sr-Latn-CS" w:eastAsia="zh-TW"/>
        </w:rPr>
      </w:pPr>
      <w:r w:rsidRPr="005C37D5">
        <w:rPr>
          <w:lang w:val="sr-Latn-CS" w:eastAsia="zh-TW"/>
        </w:rPr>
        <w:t>Члан 20. став 3. Закона о ЈПП-у дефинише да ако реализација пројекта ЈПП подразумева давање концесије из члана 10. став 1. овог закона, поступак избора приватног партнера спроводи се у складу са одредбама Закона о ЈПП.</w:t>
      </w:r>
    </w:p>
    <w:p w14:paraId="533BE8F9" w14:textId="77777777" w:rsidR="007830CF" w:rsidRPr="007830CF" w:rsidRDefault="007830CF" w:rsidP="007830CF">
      <w:pPr>
        <w:pStyle w:val="Stext2"/>
        <w:rPr>
          <w:lang w:val="ru-RU"/>
        </w:rPr>
      </w:pPr>
      <w:r>
        <w:rPr>
          <w:lang w:val="ru-RU"/>
        </w:rPr>
        <w:t>Члан</w:t>
      </w:r>
      <w:r w:rsidRPr="007830CF">
        <w:rPr>
          <w:lang w:val="ru-RU"/>
        </w:rPr>
        <w:t xml:space="preserve"> 3.</w:t>
      </w:r>
      <w:r w:rsidRPr="007830CF">
        <w:rPr>
          <w:lang w:val="sr-Cyrl-RS"/>
        </w:rPr>
        <w:t xml:space="preserve"> </w:t>
      </w:r>
      <w:r w:rsidRPr="007830CF">
        <w:rPr>
          <w:b/>
          <w:lang w:val="ru-RU"/>
        </w:rPr>
        <w:t xml:space="preserve">Закона о комуналним делатностима </w:t>
      </w:r>
      <w:r w:rsidRPr="007830CF">
        <w:rPr>
          <w:lang w:val="ru-RU"/>
        </w:rPr>
        <w:t>(‘‘Службени гласник РС”, бр. 88/11</w:t>
      </w:r>
      <w:r w:rsidRPr="007830CF">
        <w:rPr>
          <w:lang w:val="sr-Cyrl-RS"/>
        </w:rPr>
        <w:t>,</w:t>
      </w:r>
      <w:r w:rsidRPr="007830CF">
        <w:rPr>
          <w:lang w:val="en-US"/>
        </w:rPr>
        <w:t xml:space="preserve"> 104/16</w:t>
      </w:r>
      <w:r w:rsidRPr="007830CF">
        <w:rPr>
          <w:lang w:val="sr-Cyrl-RS"/>
        </w:rPr>
        <w:t xml:space="preserve"> и 95/18</w:t>
      </w:r>
      <w:r w:rsidRPr="007830CF">
        <w:rPr>
          <w:lang w:val="ru-RU"/>
        </w:rPr>
        <w:t>) дефини</w:t>
      </w:r>
      <w:r>
        <w:rPr>
          <w:lang w:val="ru-RU"/>
        </w:rPr>
        <w:t>ше</w:t>
      </w:r>
      <w:r w:rsidRPr="007830CF">
        <w:rPr>
          <w:lang w:val="ru-RU"/>
        </w:rPr>
        <w:t xml:space="preserve"> да комуналне делатности у смислу овог закона, између осталог, обухватају:</w:t>
      </w:r>
    </w:p>
    <w:p w14:paraId="3C657C90" w14:textId="77777777" w:rsidR="007830CF" w:rsidRPr="007830CF" w:rsidRDefault="007830CF" w:rsidP="007830CF">
      <w:pPr>
        <w:pStyle w:val="Stext2"/>
        <w:rPr>
          <w:lang w:val="sr-Cyrl-CS"/>
        </w:rPr>
      </w:pPr>
      <w:r w:rsidRPr="007830CF">
        <w:rPr>
          <w:lang w:val="ru-RU"/>
        </w:rPr>
        <w:t xml:space="preserve"> </w:t>
      </w:r>
      <w:r w:rsidRPr="007830CF">
        <w:rPr>
          <w:lang w:val="ru-RU"/>
        </w:rPr>
        <w:tab/>
        <w:t xml:space="preserve">- </w:t>
      </w:r>
      <w:r w:rsidRPr="007830CF">
        <w:rPr>
          <w:b/>
          <w:lang w:val="sr-Cyrl-CS"/>
        </w:rPr>
        <w:t>управљање јавним паркиралиштима</w:t>
      </w:r>
      <w:r w:rsidRPr="007830CF">
        <w:rPr>
          <w:b/>
          <w:lang w:val="ru-RU"/>
        </w:rPr>
        <w:t xml:space="preserve"> </w:t>
      </w:r>
      <w:r w:rsidRPr="007830CF">
        <w:rPr>
          <w:lang w:val="ru-RU"/>
        </w:rPr>
        <w:t xml:space="preserve">((тачка 7) </w:t>
      </w:r>
      <w:r w:rsidRPr="007830CF">
        <w:rPr>
          <w:lang w:val="sr-Cyrl-CS"/>
        </w:rPr>
        <w:t>управљање јавним паркиралиштима је услуга одржавања јавних паркиралишта и простора за паркирање на обележеним местима (затворени и отворени простори), организација и вршење контроле и наплате паркирања, услуга уклањања непрописно паркираних, одбачених или остављених возила, премештање паркираних возила под условима прописаним овим и другим посебним законом, постављање уређаја којима се по налогу надлежног органа спречава одвожење возила, као и уклањање, премештање возила и постављање уређаја којима се спречава одвожење возила у случајевима предвиђеним посебном одлуком скупштине јединице локалне самоуправе којом се уређује начин обављања комуналне делатности управљања јавним паркиралиштима, као и вршење наплате ових услуга</w:t>
      </w:r>
      <w:r w:rsidRPr="007830CF">
        <w:rPr>
          <w:lang w:val="sr-Cyrl-RS"/>
        </w:rPr>
        <w:t>)</w:t>
      </w:r>
      <w:r w:rsidRPr="007830CF">
        <w:rPr>
          <w:lang w:val="sr-Cyrl-CS"/>
        </w:rPr>
        <w:t>;</w:t>
      </w:r>
    </w:p>
    <w:p w14:paraId="1C688492" w14:textId="77777777" w:rsidR="007830CF" w:rsidRPr="007830CF" w:rsidRDefault="007830CF" w:rsidP="007830CF">
      <w:pPr>
        <w:pStyle w:val="Stext2"/>
        <w:rPr>
          <w:lang w:val="sr-Cyrl-CS"/>
        </w:rPr>
      </w:pPr>
      <w:r w:rsidRPr="007830CF">
        <w:rPr>
          <w:lang w:val="sr-Cyrl-CS"/>
        </w:rPr>
        <w:lastRenderedPageBreak/>
        <w:tab/>
      </w:r>
      <w:r w:rsidRPr="007830CF">
        <w:rPr>
          <w:lang w:val="sr-Cyrl-RS"/>
        </w:rPr>
        <w:t xml:space="preserve">- </w:t>
      </w:r>
      <w:r w:rsidRPr="007830CF">
        <w:rPr>
          <w:b/>
          <w:lang w:val="sr-Cyrl-CS"/>
        </w:rPr>
        <w:t>управљање пијацама</w:t>
      </w:r>
      <w:r w:rsidRPr="007830CF">
        <w:rPr>
          <w:lang w:val="sr-Cyrl-CS"/>
        </w:rPr>
        <w:t xml:space="preserve"> </w:t>
      </w:r>
      <w:r w:rsidRPr="007830CF">
        <w:rPr>
          <w:lang w:val="sr-Cyrl-RS"/>
        </w:rPr>
        <w:t xml:space="preserve">((тачка 9) </w:t>
      </w:r>
      <w:r w:rsidRPr="007830CF">
        <w:rPr>
          <w:lang w:val="sr-Cyrl-CS"/>
        </w:rPr>
        <w:t>управљање пијацама је комунално опремање, одржавање објеката на пијацама (пијачног пословног простора, укључујући и киоске и тезге на отвореном простору), давање у закуп тезги на пијацама и организација делатности на затвореним и отвореним просторима који су намењени за обављање промета пољопривредно-прехрамбених и других производа</w:t>
      </w:r>
      <w:r w:rsidRPr="007830CF">
        <w:rPr>
          <w:lang w:val="sr-Cyrl-RS"/>
        </w:rPr>
        <w:t>)</w:t>
      </w:r>
      <w:r w:rsidRPr="007830CF">
        <w:rPr>
          <w:lang w:val="sr-Cyrl-CS"/>
        </w:rPr>
        <w:t>;</w:t>
      </w:r>
    </w:p>
    <w:p w14:paraId="70B289DC" w14:textId="77777777" w:rsidR="007830CF" w:rsidRPr="007830CF" w:rsidRDefault="007830CF" w:rsidP="007830CF">
      <w:pPr>
        <w:pStyle w:val="Stext2"/>
        <w:rPr>
          <w:lang w:val="sr-Cyrl-CS"/>
        </w:rPr>
      </w:pPr>
      <w:r w:rsidRPr="007830CF">
        <w:rPr>
          <w:lang w:val="sr-Cyrl-CS"/>
        </w:rPr>
        <w:tab/>
      </w:r>
      <w:r w:rsidRPr="007830CF">
        <w:rPr>
          <w:lang w:val="sr-Cyrl-RS"/>
        </w:rPr>
        <w:t xml:space="preserve">- </w:t>
      </w:r>
      <w:r w:rsidRPr="007830CF">
        <w:rPr>
          <w:b/>
          <w:lang w:val="sr-Cyrl-CS"/>
        </w:rPr>
        <w:t>одржавање чистоће на јавним површинама</w:t>
      </w:r>
      <w:r w:rsidRPr="007830CF">
        <w:rPr>
          <w:lang w:val="sr-Cyrl-CS"/>
        </w:rPr>
        <w:t xml:space="preserve"> </w:t>
      </w:r>
      <w:r w:rsidRPr="007830CF">
        <w:rPr>
          <w:lang w:val="sr-Cyrl-RS"/>
        </w:rPr>
        <w:t xml:space="preserve">((тачка 11) </w:t>
      </w:r>
      <w:r w:rsidRPr="007830CF">
        <w:rPr>
          <w:lang w:val="sr-Cyrl-CS"/>
        </w:rPr>
        <w:t>одржавање чистоће на јавним површинама је чишћење и прање асфалтираних, бетонских, поплочаних и других јавних површина, прикупљање и одвожење комуналног отпада са тих површина, одржавање и пражњење посуда за отпатке на јавним површинама, као и одржавање јавних чесми, бунара, фонтана, купалишта, плажа и тоалета као комуналних објеката</w:t>
      </w:r>
      <w:r w:rsidRPr="007830CF">
        <w:rPr>
          <w:lang w:val="sr-Cyrl-RS"/>
        </w:rPr>
        <w:t>)</w:t>
      </w:r>
      <w:r w:rsidRPr="007830CF">
        <w:rPr>
          <w:lang w:val="sr-Cyrl-CS"/>
        </w:rPr>
        <w:t>;</w:t>
      </w:r>
    </w:p>
    <w:p w14:paraId="0C5FBF4D" w14:textId="77777777" w:rsidR="007830CF" w:rsidRPr="007830CF" w:rsidRDefault="007830CF" w:rsidP="007830CF">
      <w:pPr>
        <w:pStyle w:val="Stext2"/>
        <w:rPr>
          <w:lang w:val="sr-Cyrl-CS"/>
        </w:rPr>
      </w:pPr>
      <w:r w:rsidRPr="007830CF">
        <w:rPr>
          <w:lang w:val="sr-Cyrl-CS"/>
        </w:rPr>
        <w:tab/>
      </w:r>
      <w:r w:rsidRPr="007830CF">
        <w:rPr>
          <w:lang w:val="sr-Cyrl-RS"/>
        </w:rPr>
        <w:t xml:space="preserve">- </w:t>
      </w:r>
      <w:r w:rsidRPr="007830CF">
        <w:rPr>
          <w:b/>
          <w:lang w:val="sr-Cyrl-CS"/>
        </w:rPr>
        <w:t>одржавање јавних зелених површина</w:t>
      </w:r>
      <w:r w:rsidRPr="007830CF">
        <w:rPr>
          <w:lang w:val="sr-Cyrl-CS"/>
        </w:rPr>
        <w:t xml:space="preserve"> </w:t>
      </w:r>
      <w:r w:rsidRPr="007830CF">
        <w:rPr>
          <w:lang w:val="sr-Cyrl-RS"/>
        </w:rPr>
        <w:t xml:space="preserve">((тачка 12) </w:t>
      </w:r>
      <w:r w:rsidRPr="007830CF">
        <w:rPr>
          <w:lang w:val="sr-Cyrl-CS"/>
        </w:rPr>
        <w:t>одржавање јавних зелених површина је уређење, текуће и инвестиционо одржавање, реконструкција и санација зелених, рекреативних површина и приобаља;</w:t>
      </w:r>
    </w:p>
    <w:p w14:paraId="503AA28C" w14:textId="77777777" w:rsidR="007830CF" w:rsidRPr="007830CF" w:rsidRDefault="007830CF" w:rsidP="007830CF">
      <w:pPr>
        <w:pStyle w:val="Stext2"/>
        <w:rPr>
          <w:lang w:val="ru-RU"/>
        </w:rPr>
      </w:pPr>
      <w:r>
        <w:rPr>
          <w:lang w:val="ru-RU"/>
        </w:rPr>
        <w:t>Члан</w:t>
      </w:r>
      <w:r w:rsidRPr="007830CF">
        <w:rPr>
          <w:lang w:val="ru-RU"/>
        </w:rPr>
        <w:t xml:space="preserve"> 9. став 7. </w:t>
      </w:r>
      <w:r w:rsidRPr="007830CF">
        <w:rPr>
          <w:b/>
          <w:lang w:val="ru-RU"/>
        </w:rPr>
        <w:t xml:space="preserve">Закона о комуналним делатностима </w:t>
      </w:r>
      <w:r w:rsidRPr="007830CF">
        <w:rPr>
          <w:lang w:val="sr-Latn-RS"/>
        </w:rPr>
        <w:t>(</w:t>
      </w:r>
      <w:r w:rsidRPr="007830CF">
        <w:rPr>
          <w:lang w:val="ru-RU"/>
        </w:rPr>
        <w:t>‘‘Службени гласник РС”, бр. 88/11</w:t>
      </w:r>
      <w:r w:rsidRPr="007830CF">
        <w:rPr>
          <w:lang w:val="sr-Cyrl-RS"/>
        </w:rPr>
        <w:t>,</w:t>
      </w:r>
      <w:r w:rsidRPr="007830CF">
        <w:rPr>
          <w:lang w:val="en-US"/>
        </w:rPr>
        <w:t xml:space="preserve"> 104/16</w:t>
      </w:r>
      <w:r w:rsidRPr="007830CF">
        <w:rPr>
          <w:lang w:val="sr-Cyrl-RS"/>
        </w:rPr>
        <w:t xml:space="preserve"> и 95/18</w:t>
      </w:r>
      <w:r w:rsidRPr="007830CF">
        <w:rPr>
          <w:lang w:val="ru-RU"/>
        </w:rPr>
        <w:t xml:space="preserve">) </w:t>
      </w:r>
      <w:r w:rsidRPr="007830CF">
        <w:rPr>
          <w:lang w:val="sr-Latn-RS"/>
        </w:rPr>
        <w:t>дефини</w:t>
      </w:r>
      <w:r>
        <w:rPr>
          <w:lang w:val="sr-Cyrl-RS"/>
        </w:rPr>
        <w:t>ше</w:t>
      </w:r>
      <w:r w:rsidRPr="007830CF">
        <w:rPr>
          <w:lang w:val="sr-Latn-RS"/>
        </w:rPr>
        <w:t xml:space="preserve"> да се</w:t>
      </w:r>
      <w:r w:rsidRPr="007830CF">
        <w:rPr>
          <w:lang w:val="ru-RU"/>
        </w:rPr>
        <w:t xml:space="preserve"> </w:t>
      </w:r>
      <w:proofErr w:type="spellStart"/>
      <w:r w:rsidRPr="007830CF">
        <w:rPr>
          <w:lang w:val="en-US"/>
        </w:rPr>
        <w:t>на</w:t>
      </w:r>
      <w:proofErr w:type="spellEnd"/>
      <w:r w:rsidRPr="007830CF">
        <w:rPr>
          <w:lang w:val="en-US"/>
        </w:rPr>
        <w:t xml:space="preserve"> </w:t>
      </w:r>
      <w:proofErr w:type="spellStart"/>
      <w:r w:rsidRPr="007830CF">
        <w:rPr>
          <w:lang w:val="en-US"/>
        </w:rPr>
        <w:t>поступак</w:t>
      </w:r>
      <w:proofErr w:type="spellEnd"/>
      <w:r w:rsidRPr="007830CF">
        <w:rPr>
          <w:lang w:val="en-US"/>
        </w:rPr>
        <w:t xml:space="preserve"> </w:t>
      </w:r>
      <w:proofErr w:type="spellStart"/>
      <w:r w:rsidRPr="007830CF">
        <w:rPr>
          <w:lang w:val="en-US"/>
        </w:rPr>
        <w:t>поверавања</w:t>
      </w:r>
      <w:proofErr w:type="spellEnd"/>
      <w:r w:rsidRPr="007830CF">
        <w:rPr>
          <w:lang w:val="en-US"/>
        </w:rPr>
        <w:t xml:space="preserve"> </w:t>
      </w:r>
      <w:proofErr w:type="spellStart"/>
      <w:r w:rsidRPr="007830CF">
        <w:rPr>
          <w:lang w:val="en-US"/>
        </w:rPr>
        <w:t>обављања</w:t>
      </w:r>
      <w:proofErr w:type="spellEnd"/>
      <w:r w:rsidRPr="007830CF">
        <w:rPr>
          <w:lang w:val="en-US"/>
        </w:rPr>
        <w:t xml:space="preserve"> </w:t>
      </w:r>
      <w:proofErr w:type="spellStart"/>
      <w:r w:rsidRPr="007830CF">
        <w:rPr>
          <w:lang w:val="en-US"/>
        </w:rPr>
        <w:t>комуналне</w:t>
      </w:r>
      <w:proofErr w:type="spellEnd"/>
      <w:r w:rsidRPr="007830CF">
        <w:rPr>
          <w:lang w:val="en-US"/>
        </w:rPr>
        <w:t xml:space="preserve"> </w:t>
      </w:r>
      <w:proofErr w:type="spellStart"/>
      <w:r w:rsidRPr="007830CF">
        <w:rPr>
          <w:lang w:val="en-US"/>
        </w:rPr>
        <w:t>делатности</w:t>
      </w:r>
      <w:proofErr w:type="spellEnd"/>
      <w:r w:rsidRPr="007830CF">
        <w:rPr>
          <w:lang w:val="en-US"/>
        </w:rPr>
        <w:t xml:space="preserve"> </w:t>
      </w:r>
      <w:proofErr w:type="spellStart"/>
      <w:r w:rsidRPr="007830CF">
        <w:rPr>
          <w:lang w:val="en-US"/>
        </w:rPr>
        <w:t>чије</w:t>
      </w:r>
      <w:proofErr w:type="spellEnd"/>
      <w:r w:rsidRPr="007830CF">
        <w:rPr>
          <w:lang w:val="en-US"/>
        </w:rPr>
        <w:t xml:space="preserve"> </w:t>
      </w:r>
      <w:proofErr w:type="spellStart"/>
      <w:r w:rsidRPr="007830CF">
        <w:rPr>
          <w:lang w:val="en-US"/>
        </w:rPr>
        <w:t>се</w:t>
      </w:r>
      <w:proofErr w:type="spellEnd"/>
      <w:r w:rsidRPr="007830CF">
        <w:rPr>
          <w:lang w:val="en-US"/>
        </w:rPr>
        <w:t xml:space="preserve"> </w:t>
      </w:r>
      <w:proofErr w:type="spellStart"/>
      <w:r w:rsidRPr="007830CF">
        <w:rPr>
          <w:lang w:val="en-US"/>
        </w:rPr>
        <w:t>финансирање</w:t>
      </w:r>
      <w:proofErr w:type="spellEnd"/>
      <w:r w:rsidRPr="007830CF">
        <w:rPr>
          <w:lang w:val="en-US"/>
        </w:rPr>
        <w:t xml:space="preserve"> </w:t>
      </w:r>
      <w:proofErr w:type="spellStart"/>
      <w:r w:rsidRPr="007830CF">
        <w:rPr>
          <w:lang w:val="en-US"/>
        </w:rPr>
        <w:t>обезбеђује</w:t>
      </w:r>
      <w:proofErr w:type="spellEnd"/>
      <w:r w:rsidRPr="007830CF">
        <w:rPr>
          <w:lang w:val="en-US"/>
        </w:rPr>
        <w:t xml:space="preserve"> </w:t>
      </w:r>
      <w:proofErr w:type="spellStart"/>
      <w:r w:rsidRPr="007830CF">
        <w:rPr>
          <w:lang w:val="en-US"/>
        </w:rPr>
        <w:t>из</w:t>
      </w:r>
      <w:proofErr w:type="spellEnd"/>
      <w:r w:rsidRPr="007830CF">
        <w:rPr>
          <w:lang w:val="en-US"/>
        </w:rPr>
        <w:t xml:space="preserve"> </w:t>
      </w:r>
      <w:proofErr w:type="spellStart"/>
      <w:r w:rsidRPr="007830CF">
        <w:rPr>
          <w:lang w:val="en-US"/>
        </w:rPr>
        <w:t>буџета</w:t>
      </w:r>
      <w:proofErr w:type="spellEnd"/>
      <w:r w:rsidRPr="007830CF">
        <w:rPr>
          <w:lang w:val="en-US"/>
        </w:rPr>
        <w:t xml:space="preserve"> </w:t>
      </w:r>
      <w:proofErr w:type="spellStart"/>
      <w:r w:rsidRPr="007830CF">
        <w:rPr>
          <w:lang w:val="en-US"/>
        </w:rPr>
        <w:t>јединице</w:t>
      </w:r>
      <w:proofErr w:type="spellEnd"/>
      <w:r w:rsidRPr="007830CF">
        <w:rPr>
          <w:lang w:val="en-US"/>
        </w:rPr>
        <w:t xml:space="preserve"> </w:t>
      </w:r>
      <w:proofErr w:type="spellStart"/>
      <w:r w:rsidRPr="007830CF">
        <w:rPr>
          <w:lang w:val="en-US"/>
        </w:rPr>
        <w:t>локалне</w:t>
      </w:r>
      <w:proofErr w:type="spellEnd"/>
      <w:r w:rsidRPr="007830CF">
        <w:rPr>
          <w:lang w:val="en-US"/>
        </w:rPr>
        <w:t xml:space="preserve"> </w:t>
      </w:r>
      <w:proofErr w:type="spellStart"/>
      <w:r w:rsidRPr="007830CF">
        <w:rPr>
          <w:lang w:val="en-US"/>
        </w:rPr>
        <w:t>самоуправе</w:t>
      </w:r>
      <w:proofErr w:type="spellEnd"/>
      <w:r w:rsidRPr="007830CF">
        <w:rPr>
          <w:lang w:val="en-US"/>
        </w:rPr>
        <w:t xml:space="preserve">, </w:t>
      </w:r>
      <w:proofErr w:type="spellStart"/>
      <w:r w:rsidRPr="007830CF">
        <w:rPr>
          <w:lang w:val="en-US"/>
        </w:rPr>
        <w:t>односно</w:t>
      </w:r>
      <w:proofErr w:type="spellEnd"/>
      <w:r w:rsidRPr="007830CF">
        <w:rPr>
          <w:lang w:val="en-US"/>
        </w:rPr>
        <w:t xml:space="preserve"> </w:t>
      </w:r>
      <w:proofErr w:type="spellStart"/>
      <w:r w:rsidRPr="007830CF">
        <w:rPr>
          <w:lang w:val="en-US"/>
        </w:rPr>
        <w:t>чије</w:t>
      </w:r>
      <w:proofErr w:type="spellEnd"/>
      <w:r w:rsidRPr="007830CF">
        <w:rPr>
          <w:lang w:val="en-US"/>
        </w:rPr>
        <w:t xml:space="preserve"> </w:t>
      </w:r>
      <w:proofErr w:type="spellStart"/>
      <w:r w:rsidRPr="007830CF">
        <w:rPr>
          <w:lang w:val="en-US"/>
        </w:rPr>
        <w:t>се</w:t>
      </w:r>
      <w:proofErr w:type="spellEnd"/>
      <w:r w:rsidRPr="007830CF">
        <w:rPr>
          <w:lang w:val="en-US"/>
        </w:rPr>
        <w:t xml:space="preserve"> </w:t>
      </w:r>
      <w:proofErr w:type="spellStart"/>
      <w:r w:rsidRPr="007830CF">
        <w:rPr>
          <w:lang w:val="en-US"/>
        </w:rPr>
        <w:t>финансирање</w:t>
      </w:r>
      <w:proofErr w:type="spellEnd"/>
      <w:r w:rsidRPr="007830CF">
        <w:rPr>
          <w:lang w:val="en-US"/>
        </w:rPr>
        <w:t xml:space="preserve"> </w:t>
      </w:r>
      <w:proofErr w:type="spellStart"/>
      <w:r w:rsidRPr="007830CF">
        <w:rPr>
          <w:lang w:val="en-US"/>
        </w:rPr>
        <w:t>обезбеђује</w:t>
      </w:r>
      <w:proofErr w:type="spellEnd"/>
      <w:r w:rsidRPr="007830CF">
        <w:rPr>
          <w:lang w:val="en-US"/>
        </w:rPr>
        <w:t xml:space="preserve"> у </w:t>
      </w:r>
      <w:proofErr w:type="spellStart"/>
      <w:r w:rsidRPr="007830CF">
        <w:rPr>
          <w:lang w:val="en-US"/>
        </w:rPr>
        <w:t>целости</w:t>
      </w:r>
      <w:proofErr w:type="spellEnd"/>
      <w:r w:rsidRPr="007830CF">
        <w:rPr>
          <w:lang w:val="en-US"/>
        </w:rPr>
        <w:t xml:space="preserve"> </w:t>
      </w:r>
      <w:proofErr w:type="spellStart"/>
      <w:r w:rsidRPr="007830CF">
        <w:rPr>
          <w:lang w:val="en-US"/>
        </w:rPr>
        <w:t>или</w:t>
      </w:r>
      <w:proofErr w:type="spellEnd"/>
      <w:r w:rsidRPr="007830CF">
        <w:rPr>
          <w:lang w:val="en-US"/>
        </w:rPr>
        <w:t xml:space="preserve"> </w:t>
      </w:r>
      <w:proofErr w:type="spellStart"/>
      <w:r w:rsidRPr="007830CF">
        <w:rPr>
          <w:lang w:val="en-US"/>
        </w:rPr>
        <w:t>делимично</w:t>
      </w:r>
      <w:proofErr w:type="spellEnd"/>
      <w:r w:rsidRPr="007830CF">
        <w:rPr>
          <w:lang w:val="en-US"/>
        </w:rPr>
        <w:t xml:space="preserve"> </w:t>
      </w:r>
      <w:proofErr w:type="spellStart"/>
      <w:r w:rsidRPr="007830CF">
        <w:rPr>
          <w:lang w:val="en-US"/>
        </w:rPr>
        <w:t>наплатом</w:t>
      </w:r>
      <w:proofErr w:type="spellEnd"/>
      <w:r w:rsidRPr="007830CF">
        <w:rPr>
          <w:lang w:val="en-US"/>
        </w:rPr>
        <w:t xml:space="preserve"> </w:t>
      </w:r>
      <w:proofErr w:type="spellStart"/>
      <w:r w:rsidRPr="007830CF">
        <w:rPr>
          <w:lang w:val="en-US"/>
        </w:rPr>
        <w:t>накнаде</w:t>
      </w:r>
      <w:proofErr w:type="spellEnd"/>
      <w:r w:rsidRPr="007830CF">
        <w:rPr>
          <w:lang w:val="en-US"/>
        </w:rPr>
        <w:t xml:space="preserve"> </w:t>
      </w:r>
      <w:proofErr w:type="spellStart"/>
      <w:r w:rsidRPr="007830CF">
        <w:rPr>
          <w:lang w:val="en-US"/>
        </w:rPr>
        <w:t>од</w:t>
      </w:r>
      <w:proofErr w:type="spellEnd"/>
      <w:r w:rsidRPr="007830CF">
        <w:rPr>
          <w:lang w:val="en-US"/>
        </w:rPr>
        <w:t xml:space="preserve"> </w:t>
      </w:r>
      <w:proofErr w:type="spellStart"/>
      <w:r w:rsidRPr="007830CF">
        <w:rPr>
          <w:lang w:val="en-US"/>
        </w:rPr>
        <w:t>корисника</w:t>
      </w:r>
      <w:proofErr w:type="spellEnd"/>
      <w:r w:rsidRPr="007830CF">
        <w:rPr>
          <w:lang w:val="en-US"/>
        </w:rPr>
        <w:t xml:space="preserve"> </w:t>
      </w:r>
      <w:proofErr w:type="spellStart"/>
      <w:r w:rsidRPr="007830CF">
        <w:rPr>
          <w:lang w:val="en-US"/>
        </w:rPr>
        <w:t>комуналних</w:t>
      </w:r>
      <w:proofErr w:type="spellEnd"/>
      <w:r w:rsidRPr="007830CF">
        <w:rPr>
          <w:lang w:val="en-US"/>
        </w:rPr>
        <w:t xml:space="preserve"> </w:t>
      </w:r>
      <w:proofErr w:type="spellStart"/>
      <w:r w:rsidRPr="007830CF">
        <w:rPr>
          <w:lang w:val="en-US"/>
        </w:rPr>
        <w:t>услуга</w:t>
      </w:r>
      <w:proofErr w:type="spellEnd"/>
      <w:r w:rsidRPr="007830CF">
        <w:rPr>
          <w:lang w:val="en-US"/>
        </w:rPr>
        <w:t xml:space="preserve">, </w:t>
      </w:r>
      <w:proofErr w:type="spellStart"/>
      <w:r w:rsidRPr="007830CF">
        <w:rPr>
          <w:lang w:val="en-US"/>
        </w:rPr>
        <w:t>примењују</w:t>
      </w:r>
      <w:proofErr w:type="spellEnd"/>
      <w:r w:rsidRPr="007830CF">
        <w:rPr>
          <w:lang w:val="en-US"/>
        </w:rPr>
        <w:t xml:space="preserve"> </w:t>
      </w:r>
      <w:proofErr w:type="spellStart"/>
      <w:r w:rsidRPr="007830CF">
        <w:rPr>
          <w:lang w:val="en-US"/>
        </w:rPr>
        <w:t>одредбе</w:t>
      </w:r>
      <w:proofErr w:type="spellEnd"/>
      <w:r w:rsidRPr="007830CF">
        <w:rPr>
          <w:lang w:val="en-US"/>
        </w:rPr>
        <w:t xml:space="preserve"> </w:t>
      </w:r>
      <w:proofErr w:type="spellStart"/>
      <w:r w:rsidRPr="007830CF">
        <w:rPr>
          <w:lang w:val="en-US"/>
        </w:rPr>
        <w:t>закона</w:t>
      </w:r>
      <w:proofErr w:type="spellEnd"/>
      <w:r w:rsidRPr="007830CF">
        <w:rPr>
          <w:lang w:val="en-US"/>
        </w:rPr>
        <w:t xml:space="preserve"> </w:t>
      </w:r>
      <w:proofErr w:type="spellStart"/>
      <w:r w:rsidRPr="007830CF">
        <w:rPr>
          <w:lang w:val="en-US"/>
        </w:rPr>
        <w:t>којима</w:t>
      </w:r>
      <w:proofErr w:type="spellEnd"/>
      <w:r w:rsidRPr="007830CF">
        <w:rPr>
          <w:lang w:val="en-US"/>
        </w:rPr>
        <w:t xml:space="preserve"> </w:t>
      </w:r>
      <w:proofErr w:type="spellStart"/>
      <w:r w:rsidRPr="007830CF">
        <w:rPr>
          <w:lang w:val="en-US"/>
        </w:rPr>
        <w:t>се</w:t>
      </w:r>
      <w:proofErr w:type="spellEnd"/>
      <w:r w:rsidRPr="007830CF">
        <w:rPr>
          <w:lang w:val="en-US"/>
        </w:rPr>
        <w:t xml:space="preserve"> </w:t>
      </w:r>
      <w:proofErr w:type="spellStart"/>
      <w:r w:rsidRPr="007830CF">
        <w:rPr>
          <w:lang w:val="en-US"/>
        </w:rPr>
        <w:t>уређује</w:t>
      </w:r>
      <w:proofErr w:type="spellEnd"/>
      <w:r w:rsidRPr="007830CF">
        <w:rPr>
          <w:lang w:val="en-US"/>
        </w:rPr>
        <w:t xml:space="preserve"> </w:t>
      </w:r>
      <w:proofErr w:type="spellStart"/>
      <w:r w:rsidRPr="007830CF">
        <w:rPr>
          <w:lang w:val="en-US"/>
        </w:rPr>
        <w:t>јавно-приватно</w:t>
      </w:r>
      <w:proofErr w:type="spellEnd"/>
      <w:r w:rsidRPr="007830CF">
        <w:rPr>
          <w:lang w:val="en-US"/>
        </w:rPr>
        <w:t xml:space="preserve"> </w:t>
      </w:r>
      <w:proofErr w:type="spellStart"/>
      <w:r w:rsidRPr="007830CF">
        <w:rPr>
          <w:lang w:val="en-US"/>
        </w:rPr>
        <w:t>партнерство</w:t>
      </w:r>
      <w:proofErr w:type="spellEnd"/>
      <w:r w:rsidRPr="007830CF">
        <w:rPr>
          <w:lang w:val="en-US"/>
        </w:rPr>
        <w:t xml:space="preserve"> и </w:t>
      </w:r>
      <w:proofErr w:type="spellStart"/>
      <w:r w:rsidRPr="007830CF">
        <w:rPr>
          <w:lang w:val="en-US"/>
        </w:rPr>
        <w:t>концесије</w:t>
      </w:r>
      <w:proofErr w:type="spellEnd"/>
      <w:r w:rsidRPr="007830CF">
        <w:rPr>
          <w:lang w:val="en-US"/>
        </w:rPr>
        <w:t>.</w:t>
      </w:r>
    </w:p>
    <w:p w14:paraId="747AA9D3" w14:textId="77777777" w:rsidR="005C37D5" w:rsidRPr="005C37D5" w:rsidRDefault="005C37D5" w:rsidP="005C37D5">
      <w:pPr>
        <w:pStyle w:val="Stext2"/>
        <w:rPr>
          <w:lang w:val="sr-Latn-CS"/>
        </w:rPr>
      </w:pPr>
    </w:p>
    <w:p w14:paraId="20D2031C" w14:textId="77777777" w:rsidR="002F02F3" w:rsidRDefault="002F02F3" w:rsidP="006D0307">
      <w:pPr>
        <w:pStyle w:val="Sheading2"/>
      </w:pPr>
      <w:proofErr w:type="spellStart"/>
      <w:r w:rsidRPr="00F02471">
        <w:lastRenderedPageBreak/>
        <w:t>Предмет</w:t>
      </w:r>
      <w:proofErr w:type="spellEnd"/>
      <w:r w:rsidRPr="00F02471">
        <w:t xml:space="preserve"> </w:t>
      </w:r>
      <w:proofErr w:type="spellStart"/>
      <w:r w:rsidRPr="00F02471">
        <w:t>Концесије</w:t>
      </w:r>
      <w:proofErr w:type="spellEnd"/>
      <w:r w:rsidRPr="00F02471">
        <w:t>/</w:t>
      </w:r>
      <w:proofErr w:type="spellStart"/>
      <w:r w:rsidRPr="00F02471">
        <w:t>природа</w:t>
      </w:r>
      <w:proofErr w:type="spellEnd"/>
      <w:r w:rsidRPr="00F02471">
        <w:t xml:space="preserve"> и </w:t>
      </w:r>
      <w:proofErr w:type="spellStart"/>
      <w:r w:rsidRPr="00F02471">
        <w:t>обим</w:t>
      </w:r>
      <w:proofErr w:type="spellEnd"/>
      <w:r w:rsidRPr="00F02471">
        <w:t xml:space="preserve"> </w:t>
      </w:r>
      <w:proofErr w:type="spellStart"/>
      <w:r w:rsidRPr="00F02471">
        <w:t>концесионе</w:t>
      </w:r>
      <w:proofErr w:type="spellEnd"/>
      <w:r w:rsidRPr="00F02471">
        <w:t xml:space="preserve"> </w:t>
      </w:r>
      <w:proofErr w:type="spellStart"/>
      <w:r w:rsidRPr="00F02471">
        <w:t>делатности</w:t>
      </w:r>
      <w:proofErr w:type="spellEnd"/>
    </w:p>
    <w:p w14:paraId="33CDFB9A" w14:textId="77777777" w:rsidR="005C37D5" w:rsidRPr="005C37D5" w:rsidRDefault="005C37D5" w:rsidP="005C37D5">
      <w:pPr>
        <w:pStyle w:val="Sheading2"/>
        <w:numPr>
          <w:ilvl w:val="0"/>
          <w:numId w:val="0"/>
        </w:numPr>
        <w:ind w:left="680"/>
        <w:rPr>
          <w:lang w:val="sr-Cyrl-CS" w:eastAsia="zh-TW"/>
        </w:rPr>
      </w:pPr>
      <w:r w:rsidRPr="005C37D5">
        <w:rPr>
          <w:lang w:val="sr-Cyrl-CS" w:eastAsia="zh-TW"/>
        </w:rPr>
        <w:t>Предмет концесије је финансирање, управљање и обављање комуналних делатности везаних за паркинг места, чистоћу града, градске тржнице и градско зеленило у Граду Прокупљу које тренутно обавља ЈКП „ХАММЕУМ“ Прокупље.</w:t>
      </w:r>
    </w:p>
    <w:p w14:paraId="0039FFCB" w14:textId="77777777" w:rsidR="005C37D5" w:rsidRPr="005C37D5" w:rsidRDefault="005C37D5" w:rsidP="005C37D5">
      <w:pPr>
        <w:pStyle w:val="Sheading2"/>
        <w:numPr>
          <w:ilvl w:val="0"/>
          <w:numId w:val="0"/>
        </w:numPr>
        <w:ind w:left="680"/>
        <w:rPr>
          <w:lang w:val="sr-Cyrl-CS" w:eastAsia="zh-TW"/>
        </w:rPr>
      </w:pPr>
      <w:r w:rsidRPr="005C37D5">
        <w:rPr>
          <w:lang w:val="sr-Cyrl-CS" w:eastAsia="zh-TW"/>
        </w:rPr>
        <w:t xml:space="preserve">Град Прокупље ће у оквиру додељене концесије поверити обављање 4 комуналне делатности: </w:t>
      </w:r>
    </w:p>
    <w:p w14:paraId="4C16AEBD" w14:textId="77777777" w:rsidR="005C37D5" w:rsidRDefault="005C37D5" w:rsidP="00F21066">
      <w:pPr>
        <w:pStyle w:val="Sheading2"/>
        <w:numPr>
          <w:ilvl w:val="0"/>
          <w:numId w:val="31"/>
        </w:numPr>
        <w:ind w:left="1260"/>
        <w:rPr>
          <w:lang w:val="sr-Cyrl-CS" w:eastAsia="zh-TW"/>
        </w:rPr>
      </w:pPr>
      <w:r w:rsidRPr="005C37D5">
        <w:rPr>
          <w:lang w:val="sr-Cyrl-CS" w:eastAsia="zh-TW"/>
        </w:rPr>
        <w:t>управљање, одржавање паркинг места и наплата паркирања на до 360 паркинг места;</w:t>
      </w:r>
    </w:p>
    <w:p w14:paraId="1D3A7802" w14:textId="77777777" w:rsidR="005C37D5" w:rsidRDefault="005C37D5" w:rsidP="00F21066">
      <w:pPr>
        <w:pStyle w:val="Sheading2"/>
        <w:numPr>
          <w:ilvl w:val="0"/>
          <w:numId w:val="31"/>
        </w:numPr>
        <w:ind w:left="1260"/>
        <w:rPr>
          <w:lang w:val="sr-Cyrl-CS" w:eastAsia="zh-TW"/>
        </w:rPr>
      </w:pPr>
      <w:r w:rsidRPr="005C37D5">
        <w:rPr>
          <w:lang w:val="sr-Cyrl-CS" w:eastAsia="zh-TW"/>
        </w:rPr>
        <w:t>управљање и наплата за 120 тезги од почетка трајања концесионог периода до најкасније краја прве године трајања Уговора о ЈПП (када се стара пијаца гаси), од када ће концесионару бити стављене на располагање, управљање, одржавање и наплату 165 тезги на новој пијаци, као и остале услуге везане за комуналну делатност градских тржница којима престаје да управља ЈКП ХАММЕУМ;</w:t>
      </w:r>
    </w:p>
    <w:p w14:paraId="671AA371" w14:textId="77777777" w:rsidR="005C37D5" w:rsidRDefault="005C37D5" w:rsidP="00F21066">
      <w:pPr>
        <w:pStyle w:val="Sheading2"/>
        <w:numPr>
          <w:ilvl w:val="0"/>
          <w:numId w:val="31"/>
        </w:numPr>
        <w:ind w:left="1260"/>
        <w:rPr>
          <w:lang w:val="sr-Cyrl-CS" w:eastAsia="zh-TW"/>
        </w:rPr>
      </w:pPr>
      <w:r w:rsidRPr="005C37D5">
        <w:rPr>
          <w:lang w:val="sr-Cyrl-CS" w:eastAsia="zh-TW"/>
        </w:rPr>
        <w:t xml:space="preserve">целокупна услуга чишћења и прања улица и јавних површина у граду Прокупљу; </w:t>
      </w:r>
    </w:p>
    <w:p w14:paraId="03FD012B" w14:textId="77777777" w:rsidR="00245DDD" w:rsidRDefault="005C37D5" w:rsidP="00F21066">
      <w:pPr>
        <w:pStyle w:val="Sheading2"/>
        <w:numPr>
          <w:ilvl w:val="0"/>
          <w:numId w:val="31"/>
        </w:numPr>
        <w:ind w:left="1260"/>
        <w:rPr>
          <w:lang w:val="sr-Latn-CS" w:eastAsia="zh-TW"/>
        </w:rPr>
      </w:pPr>
      <w:r w:rsidRPr="005C37D5">
        <w:rPr>
          <w:lang w:val="sr-Cyrl-CS" w:eastAsia="zh-TW"/>
        </w:rPr>
        <w:t>целокупна услуга уређења, одржавања и заштите јавних зелених површина у граду Пеокупљу.</w:t>
      </w:r>
    </w:p>
    <w:p w14:paraId="1C227D4E" w14:textId="77777777" w:rsidR="00F21066" w:rsidRPr="00F21066" w:rsidRDefault="00F21066" w:rsidP="00F21066">
      <w:pPr>
        <w:pStyle w:val="Sheading2"/>
        <w:rPr>
          <w:lang w:val="sr-Cyrl-RS" w:eastAsia="zh-TW"/>
        </w:rPr>
      </w:pPr>
      <w:proofErr w:type="spellStart"/>
      <w:r w:rsidRPr="00F21066">
        <w:t>Односи</w:t>
      </w:r>
      <w:proofErr w:type="spellEnd"/>
      <w:r>
        <w:rPr>
          <w:lang w:val="sr-Cyrl-RS"/>
        </w:rPr>
        <w:t xml:space="preserve"> са ЈКП ХАММЕУМ</w:t>
      </w:r>
    </w:p>
    <w:p w14:paraId="722DD307" w14:textId="77777777" w:rsidR="00F21066" w:rsidRPr="00F21066" w:rsidRDefault="00F21066" w:rsidP="00F21066">
      <w:pPr>
        <w:pStyle w:val="Sheading3"/>
        <w:rPr>
          <w:lang w:val="sr-Cyrl-RS" w:eastAsia="zh-TW"/>
        </w:rPr>
      </w:pPr>
      <w:r w:rsidRPr="00F21066">
        <w:rPr>
          <w:lang w:val="sr-Cyrl-RS" w:eastAsia="zh-TW"/>
        </w:rPr>
        <w:t>Одузимање поверених послова</w:t>
      </w:r>
    </w:p>
    <w:p w14:paraId="6305AE80" w14:textId="77777777" w:rsidR="00F21066" w:rsidRDefault="00F21066" w:rsidP="00F21066">
      <w:pPr>
        <w:pStyle w:val="Sheading2"/>
        <w:numPr>
          <w:ilvl w:val="0"/>
          <w:numId w:val="0"/>
        </w:numPr>
        <w:ind w:left="680"/>
        <w:rPr>
          <w:lang w:val="sr-Cyrl-RS" w:eastAsia="zh-TW"/>
        </w:rPr>
      </w:pPr>
      <w:r w:rsidRPr="00F21066">
        <w:rPr>
          <w:lang w:val="sr-Cyrl-RS" w:eastAsia="zh-TW"/>
        </w:rPr>
        <w:t xml:space="preserve">Одузимање поверених послова од ЈКП ХАММЕУМ биће реализовано путем статусних промена издвајању уз оснивање (у складу са Одлуком Скупштине града Прокупља о спровођењу статусне промене издвајање уз оснивање над јавним предузећем ЈКП ХАММЕУМ Прокупље од 18. фебруара 2021. године), на начин што ће се комуналне делатности поверити новооснованом ЈКП ради обављања комуналних делатности везаних за водоснабдевање и погребне услуге и одржавање гробља, као и делатност пречишћавања и одвођења атмосферских и отпадних вода, док ће комуналне делатности везане за паркирање, чистоћу града, јавно зеленило и тржнице бити поверено концесионару на основу </w:t>
      </w:r>
      <w:r>
        <w:rPr>
          <w:lang w:val="sr-Cyrl-RS" w:eastAsia="zh-TW"/>
        </w:rPr>
        <w:t>овог поступка д</w:t>
      </w:r>
      <w:r w:rsidR="00353027">
        <w:rPr>
          <w:lang w:val="sr-Cyrl-RS" w:eastAsia="zh-TW"/>
        </w:rPr>
        <w:t>оделе</w:t>
      </w:r>
      <w:r>
        <w:rPr>
          <w:lang w:val="sr-Cyrl-RS" w:eastAsia="zh-TW"/>
        </w:rPr>
        <w:t xml:space="preserve"> концесије</w:t>
      </w:r>
      <w:r w:rsidRPr="00F21066">
        <w:rPr>
          <w:lang w:val="sr-Cyrl-RS" w:eastAsia="zh-TW"/>
        </w:rPr>
        <w:t>, уговора о концесији и одлука Скупштине града о поверавању обављања комуналних делатности концесионару.</w:t>
      </w:r>
    </w:p>
    <w:p w14:paraId="6C04412F" w14:textId="77777777" w:rsidR="00F21066" w:rsidRPr="00F21066" w:rsidRDefault="00F21066" w:rsidP="00F21066">
      <w:pPr>
        <w:pStyle w:val="Sheading3"/>
        <w:rPr>
          <w:lang w:val="sr-Cyrl-RS"/>
        </w:rPr>
      </w:pPr>
      <w:r>
        <w:rPr>
          <w:lang w:val="sr-Cyrl-RS"/>
        </w:rPr>
        <w:t>Право на имовину коју користи ЈКП ХАММЕУМ</w:t>
      </w:r>
      <w:r w:rsidRPr="00F21066">
        <w:rPr>
          <w:lang w:val="sr-Cyrl-RS"/>
        </w:rPr>
        <w:t xml:space="preserve"> </w:t>
      </w:r>
    </w:p>
    <w:p w14:paraId="7A459C5C" w14:textId="77777777" w:rsidR="00F21066" w:rsidRPr="00F21066" w:rsidRDefault="00F21066" w:rsidP="00F21066">
      <w:pPr>
        <w:pStyle w:val="Stext2"/>
        <w:rPr>
          <w:lang w:val="sr-Cyrl-RS" w:eastAsia="en-US"/>
        </w:rPr>
      </w:pPr>
      <w:r w:rsidRPr="00F21066">
        <w:rPr>
          <w:lang w:val="sr-Cyrl-RS" w:eastAsia="en-US"/>
        </w:rPr>
        <w:t xml:space="preserve">С обзиром да је према тренутним плановима и структури, опрема и механизација, имовина ЈКП ХАММЕУМ, она ће евентуално бити расходована, отписана или сл. у поступку статусних промена издвајању уз оснивање, имајући у виду да се она </w:t>
      </w:r>
      <w:r w:rsidRPr="00353027">
        <w:rPr>
          <w:b/>
          <w:lang w:val="sr-Cyrl-RS" w:eastAsia="en-US"/>
        </w:rPr>
        <w:t>не ставља на располагање будућем концесионару</w:t>
      </w:r>
      <w:r w:rsidRPr="00F21066">
        <w:rPr>
          <w:lang w:val="sr-Cyrl-RS" w:eastAsia="en-US"/>
        </w:rPr>
        <w:t>. Концесионар ће бити обавезан да има на располагању непокретну и покретну имовину неопходну за обављање 4 поверене комуналне делатности, било путем закупа, било путем својине на средствима, односно објектима неопходним за рад.</w:t>
      </w:r>
    </w:p>
    <w:p w14:paraId="5B8C7207" w14:textId="77777777" w:rsidR="00D73E1E" w:rsidRPr="00F02471" w:rsidRDefault="00D73E1E" w:rsidP="00F21066">
      <w:pPr>
        <w:pStyle w:val="Sheading2"/>
        <w:rPr>
          <w:lang w:val="sr-Latn-CS"/>
        </w:rPr>
      </w:pPr>
      <w:proofErr w:type="spellStart"/>
      <w:r w:rsidRPr="00F02471">
        <w:lastRenderedPageBreak/>
        <w:t>Место</w:t>
      </w:r>
      <w:proofErr w:type="spellEnd"/>
      <w:r w:rsidRPr="00F02471">
        <w:t xml:space="preserve"> </w:t>
      </w:r>
      <w:proofErr w:type="spellStart"/>
      <w:r w:rsidRPr="00F02471">
        <w:t>обављања</w:t>
      </w:r>
      <w:proofErr w:type="spellEnd"/>
      <w:r w:rsidRPr="00F02471">
        <w:t xml:space="preserve"> </w:t>
      </w:r>
      <w:proofErr w:type="spellStart"/>
      <w:r w:rsidRPr="00F02471">
        <w:t>Концесије</w:t>
      </w:r>
      <w:proofErr w:type="spellEnd"/>
      <w:r w:rsidRPr="00F02471">
        <w:t xml:space="preserve"> </w:t>
      </w:r>
    </w:p>
    <w:p w14:paraId="35FF5315" w14:textId="77777777" w:rsidR="00D73E1E" w:rsidRPr="00353027" w:rsidRDefault="00D73E1E" w:rsidP="00353027">
      <w:pPr>
        <w:pStyle w:val="Sheading1"/>
        <w:numPr>
          <w:ilvl w:val="0"/>
          <w:numId w:val="0"/>
        </w:numPr>
        <w:rPr>
          <w:b w:val="0"/>
        </w:rPr>
      </w:pPr>
      <w:r w:rsidRPr="00F02471">
        <w:tab/>
      </w:r>
      <w:proofErr w:type="spellStart"/>
      <w:r w:rsidRPr="00F02471">
        <w:rPr>
          <w:b w:val="0"/>
        </w:rPr>
        <w:t>Место</w:t>
      </w:r>
      <w:proofErr w:type="spellEnd"/>
      <w:r w:rsidRPr="00F02471">
        <w:rPr>
          <w:b w:val="0"/>
        </w:rPr>
        <w:t xml:space="preserve"> </w:t>
      </w:r>
      <w:proofErr w:type="spellStart"/>
      <w:r w:rsidRPr="00F02471">
        <w:rPr>
          <w:b w:val="0"/>
        </w:rPr>
        <w:t>обављања</w:t>
      </w:r>
      <w:proofErr w:type="spellEnd"/>
      <w:r w:rsidRPr="00F02471">
        <w:rPr>
          <w:b w:val="0"/>
        </w:rPr>
        <w:t xml:space="preserve"> </w:t>
      </w:r>
      <w:proofErr w:type="spellStart"/>
      <w:r w:rsidRPr="00F02471">
        <w:rPr>
          <w:b w:val="0"/>
        </w:rPr>
        <w:t>концесионе</w:t>
      </w:r>
      <w:proofErr w:type="spellEnd"/>
      <w:r w:rsidRPr="00F02471">
        <w:rPr>
          <w:b w:val="0"/>
        </w:rPr>
        <w:t xml:space="preserve"> </w:t>
      </w:r>
      <w:proofErr w:type="spellStart"/>
      <w:r w:rsidRPr="00F02471">
        <w:rPr>
          <w:b w:val="0"/>
        </w:rPr>
        <w:t>делатности</w:t>
      </w:r>
      <w:proofErr w:type="spellEnd"/>
      <w:r w:rsidRPr="00F02471">
        <w:rPr>
          <w:b w:val="0"/>
        </w:rPr>
        <w:t xml:space="preserve"> </w:t>
      </w:r>
      <w:proofErr w:type="spellStart"/>
      <w:r w:rsidRPr="00F02471">
        <w:rPr>
          <w:b w:val="0"/>
        </w:rPr>
        <w:t>обухваћене</w:t>
      </w:r>
      <w:proofErr w:type="spellEnd"/>
      <w:r w:rsidRPr="00F02471">
        <w:rPr>
          <w:b w:val="0"/>
        </w:rPr>
        <w:t xml:space="preserve"> </w:t>
      </w:r>
      <w:proofErr w:type="spellStart"/>
      <w:r w:rsidRPr="00F02471">
        <w:rPr>
          <w:b w:val="0"/>
        </w:rPr>
        <w:t>Концесијом</w:t>
      </w:r>
      <w:proofErr w:type="spellEnd"/>
      <w:r w:rsidRPr="00F02471">
        <w:rPr>
          <w:b w:val="0"/>
        </w:rPr>
        <w:t xml:space="preserve"> </w:t>
      </w:r>
      <w:proofErr w:type="spellStart"/>
      <w:r w:rsidRPr="00F02471">
        <w:rPr>
          <w:b w:val="0"/>
        </w:rPr>
        <w:t>налази</w:t>
      </w:r>
      <w:proofErr w:type="spellEnd"/>
      <w:r w:rsidRPr="00F02471">
        <w:rPr>
          <w:b w:val="0"/>
        </w:rPr>
        <w:t xml:space="preserve"> </w:t>
      </w:r>
      <w:proofErr w:type="spellStart"/>
      <w:r w:rsidRPr="00F02471">
        <w:rPr>
          <w:b w:val="0"/>
        </w:rPr>
        <w:t>се</w:t>
      </w:r>
      <w:proofErr w:type="spellEnd"/>
      <w:r w:rsidRPr="00F02471">
        <w:rPr>
          <w:b w:val="0"/>
        </w:rPr>
        <w:t xml:space="preserve"> </w:t>
      </w:r>
      <w:proofErr w:type="spellStart"/>
      <w:r w:rsidRPr="00F02471">
        <w:rPr>
          <w:b w:val="0"/>
        </w:rPr>
        <w:t>на</w:t>
      </w:r>
      <w:proofErr w:type="spellEnd"/>
      <w:r w:rsidRPr="00F02471">
        <w:rPr>
          <w:b w:val="0"/>
        </w:rPr>
        <w:t xml:space="preserve"> </w:t>
      </w:r>
      <w:r w:rsidRPr="00F02471">
        <w:rPr>
          <w:b w:val="0"/>
        </w:rPr>
        <w:tab/>
      </w:r>
      <w:proofErr w:type="spellStart"/>
      <w:r w:rsidRPr="00F02471">
        <w:rPr>
          <w:b w:val="0"/>
        </w:rPr>
        <w:t>територији</w:t>
      </w:r>
      <w:proofErr w:type="spellEnd"/>
      <w:r w:rsidRPr="00F02471">
        <w:rPr>
          <w:b w:val="0"/>
        </w:rPr>
        <w:t xml:space="preserve"> </w:t>
      </w:r>
      <w:r w:rsidR="00F21066">
        <w:rPr>
          <w:b w:val="0"/>
          <w:lang w:val="sr-Cyrl-RS"/>
        </w:rPr>
        <w:t>града Прокупља</w:t>
      </w:r>
    </w:p>
    <w:p w14:paraId="1F230C9F" w14:textId="77777777" w:rsidR="009C2F09" w:rsidRPr="00F02471" w:rsidRDefault="009C2F09" w:rsidP="005D3B08">
      <w:pPr>
        <w:pStyle w:val="Sheading2"/>
        <w:rPr>
          <w:lang w:val="sr-Latn-CS"/>
        </w:rPr>
      </w:pPr>
      <w:bookmarkStart w:id="1" w:name="_Toc494823554"/>
      <w:r w:rsidRPr="00F02471">
        <w:rPr>
          <w:lang w:val="sr-Latn-CS"/>
        </w:rPr>
        <w:t>Врста Концесије и Поступ</w:t>
      </w:r>
      <w:r w:rsidR="00FA11DF" w:rsidRPr="00F02471">
        <w:rPr>
          <w:lang w:val="sr-Cyrl-RS"/>
        </w:rPr>
        <w:t>а</w:t>
      </w:r>
      <w:r w:rsidR="00FA11DF" w:rsidRPr="00F02471">
        <w:rPr>
          <w:lang w:val="sr-Latn-CS"/>
        </w:rPr>
        <w:t>к</w:t>
      </w:r>
      <w:r w:rsidRPr="00F02471">
        <w:rPr>
          <w:lang w:val="sr-Latn-CS"/>
        </w:rPr>
        <w:t xml:space="preserve"> доделе концесије</w:t>
      </w:r>
    </w:p>
    <w:p w14:paraId="1EA7E7E3" w14:textId="77777777" w:rsidR="009C2F09" w:rsidRPr="00F02471" w:rsidRDefault="009C2F09" w:rsidP="005D3B08">
      <w:pPr>
        <w:pStyle w:val="Stext1"/>
        <w:rPr>
          <w:lang w:val="sr-Latn-CS"/>
        </w:rPr>
      </w:pPr>
      <w:r w:rsidRPr="00F02471">
        <w:rPr>
          <w:lang w:val="sr-Latn-CS"/>
        </w:rPr>
        <w:t>Поступак доделе концесије</w:t>
      </w:r>
      <w:r w:rsidR="00FA11DF" w:rsidRPr="00F02471">
        <w:rPr>
          <w:lang w:val="sr-Latn-CS"/>
        </w:rPr>
        <w:t xml:space="preserve"> спроводи се на основу члана 20. став 3. у вези са чланом 10.</w:t>
      </w:r>
      <w:r w:rsidRPr="00F02471">
        <w:rPr>
          <w:lang w:val="sr-Latn-CS"/>
        </w:rPr>
        <w:t xml:space="preserve"> став 1</w:t>
      </w:r>
      <w:r w:rsidR="00FA11DF" w:rsidRPr="00F02471">
        <w:rPr>
          <w:lang w:val="sr-Cyrl-RS"/>
        </w:rPr>
        <w:t>.</w:t>
      </w:r>
      <w:r w:rsidRPr="00F02471">
        <w:rPr>
          <w:lang w:val="sr-Latn-CS"/>
        </w:rPr>
        <w:t xml:space="preserve"> и у складу са члановима 35</w:t>
      </w:r>
      <w:r w:rsidR="00FA11DF" w:rsidRPr="00F02471">
        <w:rPr>
          <w:lang w:val="sr-Cyrl-RS"/>
        </w:rPr>
        <w:t>.</w:t>
      </w:r>
      <w:r w:rsidRPr="00F02471">
        <w:rPr>
          <w:lang w:val="sr-Latn-CS"/>
        </w:rPr>
        <w:t xml:space="preserve"> до 41</w:t>
      </w:r>
      <w:r w:rsidR="00FA11DF" w:rsidRPr="00F02471">
        <w:rPr>
          <w:lang w:val="sr-Cyrl-RS"/>
        </w:rPr>
        <w:t>.</w:t>
      </w:r>
      <w:r w:rsidRPr="00F02471">
        <w:rPr>
          <w:lang w:val="sr-Latn-CS"/>
        </w:rPr>
        <w:t xml:space="preserve"> Закона о концесијама, као концесија за </w:t>
      </w:r>
      <w:r w:rsidRPr="00F02471">
        <w:rPr>
          <w:lang w:val="sr-Cyrl-RS"/>
        </w:rPr>
        <w:t xml:space="preserve">обављање </w:t>
      </w:r>
      <w:r w:rsidR="00F21066">
        <w:rPr>
          <w:lang w:val="sr-Cyrl-RS"/>
        </w:rPr>
        <w:t>комуналних делатности као делатности од општег интереса</w:t>
      </w:r>
      <w:r w:rsidR="002072CE" w:rsidRPr="00F02471">
        <w:rPr>
          <w:lang w:val="sr-Latn-CS"/>
        </w:rPr>
        <w:t>, а чији је предмет</w:t>
      </w:r>
      <w:r w:rsidR="002072CE" w:rsidRPr="00F02471">
        <w:rPr>
          <w:lang w:val="sr-Cyrl-CS"/>
        </w:rPr>
        <w:t xml:space="preserve"> </w:t>
      </w:r>
      <w:r w:rsidR="00F21066" w:rsidRPr="00F21066">
        <w:rPr>
          <w:lang w:val="sr-Cyrl-CS"/>
        </w:rPr>
        <w:t xml:space="preserve">финансирање, управљање и обављање </w:t>
      </w:r>
      <w:proofErr w:type="spellStart"/>
      <w:r w:rsidR="00F21066" w:rsidRPr="00F21066">
        <w:rPr>
          <w:bCs/>
          <w:lang w:val="en-US"/>
        </w:rPr>
        <w:t>комуналних</w:t>
      </w:r>
      <w:proofErr w:type="spellEnd"/>
      <w:r w:rsidR="00F21066" w:rsidRPr="00F21066">
        <w:rPr>
          <w:bCs/>
          <w:lang w:val="en-US"/>
        </w:rPr>
        <w:t xml:space="preserve"> </w:t>
      </w:r>
      <w:proofErr w:type="spellStart"/>
      <w:r w:rsidR="00F21066" w:rsidRPr="00F21066">
        <w:rPr>
          <w:bCs/>
          <w:lang w:val="en-US"/>
        </w:rPr>
        <w:t>делатности</w:t>
      </w:r>
      <w:proofErr w:type="spellEnd"/>
      <w:r w:rsidR="00F21066" w:rsidRPr="00F21066">
        <w:rPr>
          <w:bCs/>
          <w:lang w:val="en-US"/>
        </w:rPr>
        <w:t xml:space="preserve"> </w:t>
      </w:r>
      <w:r w:rsidR="00F21066" w:rsidRPr="00F21066">
        <w:rPr>
          <w:bCs/>
          <w:lang w:val="sr-Cyrl-RS"/>
        </w:rPr>
        <w:t xml:space="preserve">везаних за </w:t>
      </w:r>
      <w:proofErr w:type="spellStart"/>
      <w:r w:rsidR="00F21066" w:rsidRPr="00F21066">
        <w:rPr>
          <w:bCs/>
          <w:lang w:val="en-US"/>
        </w:rPr>
        <w:t>паркинг</w:t>
      </w:r>
      <w:proofErr w:type="spellEnd"/>
      <w:r w:rsidR="00F21066" w:rsidRPr="00F21066">
        <w:rPr>
          <w:bCs/>
          <w:lang w:val="sr-Cyrl-RS"/>
        </w:rPr>
        <w:t xml:space="preserve"> </w:t>
      </w:r>
      <w:proofErr w:type="spellStart"/>
      <w:r w:rsidR="00F21066" w:rsidRPr="00F21066">
        <w:rPr>
          <w:bCs/>
          <w:lang w:val="en-US"/>
        </w:rPr>
        <w:t>места</w:t>
      </w:r>
      <w:proofErr w:type="spellEnd"/>
      <w:r w:rsidR="00F21066" w:rsidRPr="00F21066">
        <w:rPr>
          <w:bCs/>
          <w:lang w:val="en-US"/>
        </w:rPr>
        <w:t xml:space="preserve">, </w:t>
      </w:r>
      <w:proofErr w:type="spellStart"/>
      <w:r w:rsidR="00F21066" w:rsidRPr="00F21066">
        <w:rPr>
          <w:bCs/>
          <w:lang w:val="en-US"/>
        </w:rPr>
        <w:t>чистоћу</w:t>
      </w:r>
      <w:proofErr w:type="spellEnd"/>
      <w:r w:rsidR="00F21066" w:rsidRPr="00F21066">
        <w:rPr>
          <w:bCs/>
          <w:lang w:val="en-US"/>
        </w:rPr>
        <w:t xml:space="preserve"> </w:t>
      </w:r>
      <w:proofErr w:type="spellStart"/>
      <w:r w:rsidR="00F21066" w:rsidRPr="00F21066">
        <w:rPr>
          <w:bCs/>
          <w:lang w:val="en-US"/>
        </w:rPr>
        <w:t>града</w:t>
      </w:r>
      <w:proofErr w:type="spellEnd"/>
      <w:r w:rsidR="00F21066" w:rsidRPr="00F21066">
        <w:rPr>
          <w:bCs/>
          <w:lang w:val="en-US"/>
        </w:rPr>
        <w:t xml:space="preserve">, </w:t>
      </w:r>
      <w:proofErr w:type="spellStart"/>
      <w:r w:rsidR="00F21066" w:rsidRPr="00F21066">
        <w:rPr>
          <w:bCs/>
          <w:lang w:val="en-US"/>
        </w:rPr>
        <w:t>градске</w:t>
      </w:r>
      <w:proofErr w:type="spellEnd"/>
      <w:r w:rsidR="00F21066" w:rsidRPr="00F21066">
        <w:rPr>
          <w:bCs/>
          <w:lang w:val="en-US"/>
        </w:rPr>
        <w:t xml:space="preserve"> </w:t>
      </w:r>
      <w:proofErr w:type="spellStart"/>
      <w:r w:rsidR="00F21066" w:rsidRPr="00F21066">
        <w:rPr>
          <w:bCs/>
          <w:lang w:val="en-US"/>
        </w:rPr>
        <w:t>тржниц</w:t>
      </w:r>
      <w:proofErr w:type="spellEnd"/>
      <w:r w:rsidR="00F21066" w:rsidRPr="00F21066">
        <w:rPr>
          <w:bCs/>
          <w:lang w:val="sr-Cyrl-RS"/>
        </w:rPr>
        <w:t>е</w:t>
      </w:r>
      <w:r w:rsidR="00F21066" w:rsidRPr="00F21066">
        <w:rPr>
          <w:bCs/>
          <w:lang w:val="en-US"/>
        </w:rPr>
        <w:t xml:space="preserve"> и </w:t>
      </w:r>
      <w:proofErr w:type="spellStart"/>
      <w:r w:rsidR="00F21066" w:rsidRPr="00F21066">
        <w:rPr>
          <w:bCs/>
          <w:lang w:val="en-US"/>
        </w:rPr>
        <w:t>градско</w:t>
      </w:r>
      <w:proofErr w:type="spellEnd"/>
      <w:r w:rsidR="00F21066" w:rsidRPr="00F21066">
        <w:rPr>
          <w:bCs/>
          <w:lang w:val="en-US"/>
        </w:rPr>
        <w:t xml:space="preserve"> </w:t>
      </w:r>
      <w:proofErr w:type="spellStart"/>
      <w:r w:rsidR="00F21066" w:rsidRPr="00F21066">
        <w:rPr>
          <w:bCs/>
          <w:lang w:val="en-US"/>
        </w:rPr>
        <w:t>зеленило</w:t>
      </w:r>
      <w:proofErr w:type="spellEnd"/>
      <w:r w:rsidR="00F21066" w:rsidRPr="00F21066">
        <w:rPr>
          <w:bCs/>
          <w:lang w:val="sr-Cyrl-RS"/>
        </w:rPr>
        <w:t xml:space="preserve"> </w:t>
      </w:r>
      <w:r w:rsidR="00F21066" w:rsidRPr="00F21066">
        <w:rPr>
          <w:lang w:val="sr-Cyrl-CS"/>
        </w:rPr>
        <w:t>у Граду Прокупљу</w:t>
      </w:r>
      <w:r w:rsidRPr="00F02471">
        <w:rPr>
          <w:lang w:val="sr-Cyrl-RS"/>
        </w:rPr>
        <w:t>.</w:t>
      </w:r>
      <w:r w:rsidRPr="00F02471">
        <w:rPr>
          <w:lang w:val="sr-Latn-CS"/>
        </w:rPr>
        <w:t xml:space="preserve"> </w:t>
      </w:r>
    </w:p>
    <w:p w14:paraId="2A77A4D1" w14:textId="77777777" w:rsidR="009C2F09" w:rsidRPr="00F02471" w:rsidRDefault="009C2F09" w:rsidP="005D3B08">
      <w:pPr>
        <w:pStyle w:val="Stext1"/>
        <w:rPr>
          <w:lang w:val="sr-Latn-CS"/>
        </w:rPr>
      </w:pPr>
      <w:r w:rsidRPr="00F02471">
        <w:rPr>
          <w:lang w:val="sr-Latn-CS"/>
        </w:rPr>
        <w:t xml:space="preserve">Концесија неће бити додељена у фазама. </w:t>
      </w:r>
    </w:p>
    <w:p w14:paraId="4AFAA5FD" w14:textId="77777777" w:rsidR="009C2F09" w:rsidRPr="00F02471" w:rsidRDefault="009C2F09" w:rsidP="005D3B08">
      <w:pPr>
        <w:pStyle w:val="Stext1"/>
        <w:rPr>
          <w:lang w:val="sr-Latn-CS"/>
        </w:rPr>
      </w:pPr>
      <w:r w:rsidRPr="00F02471">
        <w:rPr>
          <w:lang w:val="sr-Latn-CS"/>
        </w:rPr>
        <w:t>Поступак доделе концесије ће бити спроведен без претквалификације.</w:t>
      </w:r>
      <w:bookmarkEnd w:id="1"/>
    </w:p>
    <w:p w14:paraId="0CBEC05E" w14:textId="77777777" w:rsidR="00E871BE" w:rsidRPr="00F02471" w:rsidRDefault="00E871BE" w:rsidP="00A0469C">
      <w:pPr>
        <w:pStyle w:val="Sheading2"/>
        <w:rPr>
          <w:lang w:val="sr-Latn-CS"/>
        </w:rPr>
      </w:pPr>
      <w:r w:rsidRPr="00F02471">
        <w:rPr>
          <w:lang w:val="sr-Latn-CS"/>
        </w:rPr>
        <w:t>Концесиона накнада</w:t>
      </w:r>
    </w:p>
    <w:p w14:paraId="0CE68761" w14:textId="77777777" w:rsidR="00476710" w:rsidRPr="00F02471" w:rsidRDefault="00E871BE" w:rsidP="00A0469C">
      <w:pPr>
        <w:pStyle w:val="Stext2"/>
        <w:rPr>
          <w:lang w:val="sr-Latn-CS"/>
        </w:rPr>
      </w:pPr>
      <w:r w:rsidRPr="00F02471">
        <w:rPr>
          <w:lang w:val="sr-Latn-CS"/>
        </w:rPr>
        <w:t>Концесиона накнада плаћаће се од стране Концесионара Граду у складу са динамиком утврђеном уговором о концесији.</w:t>
      </w:r>
      <w:r w:rsidR="00E11924" w:rsidRPr="00F02471">
        <w:rPr>
          <w:rFonts w:eastAsia="Calibri" w:cs="Calibri"/>
          <w:b/>
          <w:sz w:val="24"/>
          <w:szCs w:val="24"/>
          <w:lang w:val="sr-Cyrl-CS" w:eastAsia="sr-Cyrl-CS"/>
        </w:rPr>
        <w:t xml:space="preserve"> </w:t>
      </w:r>
      <w:r w:rsidR="00F8350C">
        <w:rPr>
          <w:lang w:val="sr-Cyrl-CS"/>
        </w:rPr>
        <w:t>Годишња</w:t>
      </w:r>
      <w:r w:rsidR="00E11924" w:rsidRPr="00F02471">
        <w:rPr>
          <w:lang w:val="sr-Cyrl-CS"/>
        </w:rPr>
        <w:t xml:space="preserve"> </w:t>
      </w:r>
      <w:r w:rsidR="00E11924" w:rsidRPr="00F02471">
        <w:rPr>
          <w:lang w:val="sr-Cyrl-RS"/>
        </w:rPr>
        <w:t xml:space="preserve">минимална </w:t>
      </w:r>
      <w:r w:rsidR="00E11924" w:rsidRPr="00F02471">
        <w:rPr>
          <w:lang w:val="sr-Cyrl-CS"/>
        </w:rPr>
        <w:t xml:space="preserve">концесиона накнада износи </w:t>
      </w:r>
      <w:r w:rsidR="00F8350C">
        <w:rPr>
          <w:lang w:val="sr-Cyrl-CS"/>
        </w:rPr>
        <w:t>500</w:t>
      </w:r>
      <w:r w:rsidR="00E11924" w:rsidRPr="00F02471">
        <w:rPr>
          <w:lang w:val="sr-Cyrl-CS"/>
        </w:rPr>
        <w:t>.000,00 РСД.</w:t>
      </w:r>
      <w:r w:rsidR="00E11924" w:rsidRPr="00F02471">
        <w:rPr>
          <w:b/>
          <w:lang w:val="sr-Latn-CS"/>
        </w:rPr>
        <w:t xml:space="preserve"> </w:t>
      </w:r>
      <w:r w:rsidRPr="00F02471">
        <w:rPr>
          <w:lang w:val="sr-Latn-CS"/>
        </w:rPr>
        <w:t>Концесиона накнада ("</w:t>
      </w:r>
      <w:r w:rsidRPr="00F02471">
        <w:rPr>
          <w:b/>
          <w:lang w:val="sr-Latn-CS"/>
        </w:rPr>
        <w:t>Концесиона накнада</w:t>
      </w:r>
      <w:r w:rsidRPr="00F02471">
        <w:rPr>
          <w:lang w:val="sr-Latn-CS"/>
        </w:rPr>
        <w:t>") исплаћује</w:t>
      </w:r>
      <w:r w:rsidR="00F8350C">
        <w:rPr>
          <w:lang w:val="sr-Cyrl-RS"/>
        </w:rPr>
        <w:t xml:space="preserve"> се</w:t>
      </w:r>
      <w:r w:rsidRPr="00F02471">
        <w:rPr>
          <w:lang w:val="sr-Latn-CS"/>
        </w:rPr>
        <w:t xml:space="preserve"> годишње </w:t>
      </w:r>
      <w:r w:rsidR="000C545D" w:rsidRPr="00F02471">
        <w:rPr>
          <w:lang w:val="sr-Cyrl-RS"/>
        </w:rPr>
        <w:t xml:space="preserve">у периоду </w:t>
      </w:r>
      <w:r w:rsidR="000C545D" w:rsidRPr="00F02471">
        <w:rPr>
          <w:lang w:val="sr-Cyrl-CS"/>
        </w:rPr>
        <w:t xml:space="preserve">од </w:t>
      </w:r>
      <w:r w:rsidR="00F8350C">
        <w:rPr>
          <w:lang w:val="sr-Cyrl-CS"/>
        </w:rPr>
        <w:t>прве</w:t>
      </w:r>
      <w:r w:rsidR="000C545D" w:rsidRPr="00F02471">
        <w:rPr>
          <w:lang w:val="sr-Cyrl-CS"/>
        </w:rPr>
        <w:t xml:space="preserve"> до 15. године </w:t>
      </w:r>
      <w:r w:rsidR="000C545D" w:rsidRPr="00F02471">
        <w:rPr>
          <w:lang w:val="sr-Cyrl-RS"/>
        </w:rPr>
        <w:t>концесионог периода</w:t>
      </w:r>
      <w:r w:rsidRPr="00F02471">
        <w:rPr>
          <w:lang w:val="sr-Latn-CS"/>
        </w:rPr>
        <w:t xml:space="preserve">, а </w:t>
      </w:r>
      <w:r w:rsidR="001325E0" w:rsidRPr="00F02471">
        <w:rPr>
          <w:lang w:val="sr-Latn-CS"/>
        </w:rPr>
        <w:t>која</w:t>
      </w:r>
      <w:r w:rsidRPr="00F02471">
        <w:rPr>
          <w:lang w:val="sr-Latn-CS"/>
        </w:rPr>
        <w:t xml:space="preserve"> ће бити индексиран</w:t>
      </w:r>
      <w:r w:rsidR="001325E0" w:rsidRPr="00F02471">
        <w:rPr>
          <w:lang w:val="sr-Cyrl-RS"/>
        </w:rPr>
        <w:t>а</w:t>
      </w:r>
      <w:r w:rsidRPr="00F02471">
        <w:rPr>
          <w:lang w:val="sr-Latn-CS"/>
        </w:rPr>
        <w:t xml:space="preserve"> са индексом потрошачких цена</w:t>
      </w:r>
      <w:r w:rsidR="001325E0" w:rsidRPr="00F02471">
        <w:rPr>
          <w:lang w:val="sr-Cyrl-RS"/>
        </w:rPr>
        <w:t>,</w:t>
      </w:r>
      <w:r w:rsidRPr="00F02471">
        <w:rPr>
          <w:lang w:val="sr-Latn-CS"/>
        </w:rPr>
        <w:t xml:space="preserve"> како је детаљније одређено у Одељку 4.2 Јавног позива ("</w:t>
      </w:r>
      <w:r w:rsidRPr="00F02471">
        <w:rPr>
          <w:b/>
          <w:lang w:val="sr-Latn-CS"/>
        </w:rPr>
        <w:t xml:space="preserve">Годишња </w:t>
      </w:r>
      <w:r w:rsidR="00FA11DF" w:rsidRPr="00F02471">
        <w:rPr>
          <w:b/>
          <w:lang w:val="sr-Cyrl-RS"/>
        </w:rPr>
        <w:t xml:space="preserve">концесиона </w:t>
      </w:r>
      <w:r w:rsidRPr="00F02471">
        <w:rPr>
          <w:b/>
          <w:lang w:val="sr-Latn-CS"/>
        </w:rPr>
        <w:t>накнада</w:t>
      </w:r>
      <w:r w:rsidRPr="00F02471">
        <w:rPr>
          <w:lang w:val="sr-Latn-CS"/>
        </w:rPr>
        <w:t>").</w:t>
      </w:r>
    </w:p>
    <w:p w14:paraId="02E454AE" w14:textId="77777777" w:rsidR="00E871BE" w:rsidRPr="00F02471" w:rsidRDefault="00E871BE" w:rsidP="00BE391A">
      <w:pPr>
        <w:pStyle w:val="Sheading2"/>
        <w:rPr>
          <w:lang w:val="sr-Latn-CS"/>
        </w:rPr>
      </w:pPr>
      <w:r w:rsidRPr="00F02471">
        <w:rPr>
          <w:lang w:val="sr-Latn-CS"/>
        </w:rPr>
        <w:t>Рок трајања Концесије</w:t>
      </w:r>
    </w:p>
    <w:p w14:paraId="0C9152C8" w14:textId="77777777" w:rsidR="00E871BE" w:rsidRPr="00F02471" w:rsidRDefault="00E871BE" w:rsidP="00BE391A">
      <w:pPr>
        <w:pStyle w:val="Stext2"/>
        <w:rPr>
          <w:lang w:val="sr-Latn-CS"/>
        </w:rPr>
      </w:pPr>
      <w:r w:rsidRPr="00F02471">
        <w:rPr>
          <w:lang w:val="sr-Latn-CS"/>
        </w:rPr>
        <w:t xml:space="preserve">Рок трајања концесије је 15 година, почев од </w:t>
      </w:r>
      <w:r w:rsidRPr="00F02471">
        <w:rPr>
          <w:lang w:val="sr-Cyrl-RS"/>
        </w:rPr>
        <w:t>ступања на снагу уговора о концесији</w:t>
      </w:r>
      <w:r w:rsidRPr="00F02471">
        <w:rPr>
          <w:lang w:val="sr-Latn-CS"/>
        </w:rPr>
        <w:t xml:space="preserve"> ("</w:t>
      </w:r>
      <w:r w:rsidRPr="00F02471">
        <w:rPr>
          <w:b/>
          <w:lang w:val="sr-Latn-CS"/>
        </w:rPr>
        <w:t>Рок трајања концесије</w:t>
      </w:r>
      <w:r w:rsidRPr="00F02471">
        <w:rPr>
          <w:lang w:val="sr-Latn-CS"/>
        </w:rPr>
        <w:t>").</w:t>
      </w:r>
    </w:p>
    <w:p w14:paraId="3E2185A5" w14:textId="77777777" w:rsidR="00E871BE" w:rsidRPr="00F02471" w:rsidRDefault="00E871BE" w:rsidP="00674B0E">
      <w:pPr>
        <w:pStyle w:val="Sheading1"/>
        <w:rPr>
          <w:lang w:val="sr-Latn-CS"/>
        </w:rPr>
      </w:pPr>
      <w:r w:rsidRPr="00F02471">
        <w:rPr>
          <w:lang w:val="sr-Latn-CS"/>
        </w:rPr>
        <w:t>Учешће у Поступку доделе концесије</w:t>
      </w:r>
    </w:p>
    <w:p w14:paraId="2710E440" w14:textId="77777777" w:rsidR="00E871BE" w:rsidRPr="00F02471" w:rsidRDefault="00E871BE" w:rsidP="00674B0E">
      <w:pPr>
        <w:pStyle w:val="Sheading2"/>
        <w:rPr>
          <w:lang w:val="sr-Latn-CS"/>
        </w:rPr>
      </w:pPr>
      <w:r w:rsidRPr="00F02471">
        <w:rPr>
          <w:lang w:val="sr-Latn-CS"/>
        </w:rPr>
        <w:t>Преузимање Конкурсне документације</w:t>
      </w:r>
    </w:p>
    <w:p w14:paraId="4E112339" w14:textId="77777777" w:rsidR="00E871BE" w:rsidRPr="00F02471" w:rsidRDefault="00E871BE" w:rsidP="00674B0E">
      <w:pPr>
        <w:pStyle w:val="Stext2"/>
        <w:rPr>
          <w:lang w:val="sr-Latn-RS"/>
        </w:rPr>
      </w:pPr>
      <w:r w:rsidRPr="00F02471">
        <w:rPr>
          <w:lang w:val="sr-Latn-CS"/>
        </w:rPr>
        <w:t>Свако заинтересовано лице које испуњава услове прописане овим Одељком 3.1 и Одељком 3.2 може да учествује у Поступку доделе концесије и да преузме конкурсну документацију ("</w:t>
      </w:r>
      <w:r w:rsidRPr="00F02471">
        <w:rPr>
          <w:b/>
          <w:lang w:val="sr-Latn-CS"/>
        </w:rPr>
        <w:t>Конкурсна документација</w:t>
      </w:r>
      <w:r w:rsidRPr="00F02471">
        <w:rPr>
          <w:lang w:val="sr-Latn-CS"/>
        </w:rPr>
        <w:t>"). Група понуђача, односно конзорцијум може да учествује у Поступку доделе концесије, у складу са условима предвиђеним Конкурсном документацијом и Законом о концесијама.</w:t>
      </w:r>
    </w:p>
    <w:p w14:paraId="02810F7D" w14:textId="77777777" w:rsidR="00E871BE" w:rsidRPr="00F02471" w:rsidRDefault="00E871BE" w:rsidP="00674B0E">
      <w:pPr>
        <w:pStyle w:val="Stext2"/>
        <w:rPr>
          <w:lang w:val="sr-Latn-CS"/>
        </w:rPr>
      </w:pPr>
      <w:r w:rsidRPr="00F02471">
        <w:rPr>
          <w:lang w:val="sr-Latn-CS"/>
        </w:rPr>
        <w:t>Накнада за преузимање Конкурсне документације се неће наплаћивати.</w:t>
      </w:r>
    </w:p>
    <w:p w14:paraId="2C3BD05B" w14:textId="0134F18F" w:rsidR="00493E29" w:rsidRPr="00F02471" w:rsidRDefault="00E871BE" w:rsidP="00981325">
      <w:pPr>
        <w:pStyle w:val="Stext2"/>
        <w:rPr>
          <w:lang w:val="sr-Latn-CS"/>
        </w:rPr>
      </w:pPr>
      <w:r w:rsidRPr="00F02471">
        <w:rPr>
          <w:lang w:val="sr-Latn-CS"/>
        </w:rPr>
        <w:t>Захтев за преузимање Конкурсне документације ("</w:t>
      </w:r>
      <w:r w:rsidRPr="00F02471">
        <w:rPr>
          <w:b/>
          <w:lang w:val="sr-Latn-CS"/>
        </w:rPr>
        <w:t>Захтев за Конкурсну документацију</w:t>
      </w:r>
      <w:r w:rsidRPr="00F02471">
        <w:rPr>
          <w:lang w:val="sr-Latn-CS"/>
        </w:rPr>
        <w:t xml:space="preserve">") треба доставити Граду </w:t>
      </w:r>
      <w:r w:rsidR="000C545D" w:rsidRPr="00F02471">
        <w:rPr>
          <w:b/>
          <w:u w:val="single"/>
          <w:lang w:val="sr-Latn-CS"/>
        </w:rPr>
        <w:t xml:space="preserve">најкасније до </w:t>
      </w:r>
      <w:r w:rsidR="00B26B45">
        <w:rPr>
          <w:b/>
          <w:u w:val="single"/>
          <w:lang w:val="sr-Cyrl-RS"/>
        </w:rPr>
        <w:t xml:space="preserve">задњег, </w:t>
      </w:r>
      <w:r w:rsidR="00B26B45">
        <w:rPr>
          <w:b/>
          <w:u w:val="single"/>
          <w:lang w:val="sr-Latn-CS"/>
        </w:rPr>
        <w:t>40</w:t>
      </w:r>
      <w:r w:rsidR="00B26B45">
        <w:rPr>
          <w:b/>
          <w:u w:val="single"/>
          <w:lang w:val="sr-Cyrl-RS"/>
        </w:rPr>
        <w:t xml:space="preserve">ог </w:t>
      </w:r>
      <w:r w:rsidR="001325E0" w:rsidRPr="00F02471">
        <w:rPr>
          <w:b/>
          <w:u w:val="single"/>
          <w:lang w:val="sr-Latn-CS"/>
        </w:rPr>
        <w:t xml:space="preserve"> </w:t>
      </w:r>
      <w:r w:rsidR="00B26B45">
        <w:rPr>
          <w:b/>
          <w:u w:val="single"/>
          <w:lang w:val="sr-Cyrl-RS"/>
        </w:rPr>
        <w:t xml:space="preserve">дана од дана објављивања у </w:t>
      </w:r>
      <w:r w:rsidR="00A8778C">
        <w:rPr>
          <w:b/>
          <w:u w:val="single"/>
          <w:lang w:val="sr-Cyrl-RS"/>
        </w:rPr>
        <w:t>,,</w:t>
      </w:r>
      <w:r w:rsidR="00B26B45">
        <w:rPr>
          <w:b/>
          <w:u w:val="single"/>
          <w:lang w:val="sr-Cyrl-RS"/>
        </w:rPr>
        <w:t>Службеном гласнику</w:t>
      </w:r>
      <w:r w:rsidR="00A8778C">
        <w:rPr>
          <w:b/>
          <w:u w:val="single"/>
          <w:lang w:val="sr-Cyrl-RS"/>
        </w:rPr>
        <w:t xml:space="preserve"> РС“</w:t>
      </w:r>
      <w:r w:rsidR="00B26B45">
        <w:rPr>
          <w:b/>
          <w:u w:val="single"/>
          <w:lang w:val="sr-Cyrl-RS"/>
        </w:rPr>
        <w:t xml:space="preserve"> </w:t>
      </w:r>
      <w:r w:rsidR="00FA11DF" w:rsidRPr="00F02471">
        <w:rPr>
          <w:b/>
          <w:u w:val="single"/>
          <w:lang w:val="sr-Latn-CS"/>
        </w:rPr>
        <w:t>до</w:t>
      </w:r>
      <w:r w:rsidRPr="00F02471">
        <w:rPr>
          <w:b/>
          <w:u w:val="single"/>
          <w:lang w:val="sr-Latn-CS"/>
        </w:rPr>
        <w:t xml:space="preserve"> 12.00 часова</w:t>
      </w:r>
      <w:r w:rsidRPr="00F02471">
        <w:rPr>
          <w:lang w:val="sr-Latn-CS"/>
        </w:rPr>
        <w:t xml:space="preserve">, </w:t>
      </w:r>
      <w:r w:rsidR="00493E29" w:rsidRPr="00F02471">
        <w:rPr>
          <w:lang w:val="sr-Latn-CS"/>
        </w:rPr>
        <w:t>на адресу назначену у Одељку 1, препорученом поштом са повратницом или путем е-маил-а.</w:t>
      </w:r>
    </w:p>
    <w:p w14:paraId="0DB4F168" w14:textId="77777777" w:rsidR="00493E29" w:rsidRPr="00F02471" w:rsidRDefault="00493E29" w:rsidP="00981325">
      <w:pPr>
        <w:pStyle w:val="Stext2"/>
        <w:rPr>
          <w:lang w:val="sr-Latn-CS"/>
        </w:rPr>
      </w:pPr>
      <w:r w:rsidRPr="00F02471">
        <w:rPr>
          <w:lang w:val="sr-Latn-CS"/>
        </w:rPr>
        <w:t>Уз Захтев за Конкурсну документацију, свако заинтересовано лице мора да достави:</w:t>
      </w:r>
    </w:p>
    <w:p w14:paraId="719DCBB0" w14:textId="5AE73C15" w:rsidR="00493E29" w:rsidRPr="00F02471" w:rsidRDefault="00493E29" w:rsidP="00D0028D">
      <w:pPr>
        <w:pStyle w:val="Stext2"/>
        <w:numPr>
          <w:ilvl w:val="0"/>
          <w:numId w:val="25"/>
        </w:numPr>
        <w:rPr>
          <w:lang w:val="sr-Latn-CS"/>
        </w:rPr>
      </w:pPr>
      <w:r w:rsidRPr="00F02471">
        <w:rPr>
          <w:lang w:val="sr-Latn-CS"/>
        </w:rPr>
        <w:t>уредно потписан примерак уговора о поверљивости; и</w:t>
      </w:r>
    </w:p>
    <w:p w14:paraId="4D9C25E2" w14:textId="77777777" w:rsidR="00493E29" w:rsidRPr="00F02471" w:rsidRDefault="00493E29" w:rsidP="00D0028D">
      <w:pPr>
        <w:pStyle w:val="Stext2"/>
        <w:numPr>
          <w:ilvl w:val="0"/>
          <w:numId w:val="25"/>
        </w:numPr>
        <w:rPr>
          <w:lang w:val="sr-Latn-CS"/>
        </w:rPr>
      </w:pPr>
      <w:r w:rsidRPr="00F02471">
        <w:rPr>
          <w:lang w:val="sr-Latn-CS"/>
        </w:rPr>
        <w:t xml:space="preserve">званични извод издат од стране надлежног привредног регистра, који није старији од 30 дана од дана </w:t>
      </w:r>
      <w:r w:rsidR="00353027">
        <w:rPr>
          <w:lang w:val="sr-Cyrl-RS"/>
        </w:rPr>
        <w:t xml:space="preserve">пре </w:t>
      </w:r>
      <w:r w:rsidRPr="00F02471">
        <w:rPr>
          <w:lang w:val="sr-Latn-CS"/>
        </w:rPr>
        <w:t xml:space="preserve">подношења Захтева за Конкурсну </w:t>
      </w:r>
      <w:r w:rsidRPr="00F02471">
        <w:rPr>
          <w:lang w:val="sr-Latn-CS"/>
        </w:rPr>
        <w:lastRenderedPageBreak/>
        <w:t>документацију, који потврђује да је потписник уговора о поверљивости овлашћен за такво заступање заинтересованог лица или оригинал уредно потписаног и овереног пуномоћја, у случају да уговор о поверљивости потписује лице које није законски заступник заинтересованог лица које подноси Захтев за Конкурсну документацију. У случају да било који од ових докумената није издат на српском језику, оверени превод овлашћеног судског тумача у Републици Србији мора да буде приложен уз оригинал релевантног документа.</w:t>
      </w:r>
    </w:p>
    <w:p w14:paraId="7A662E2F" w14:textId="77777777" w:rsidR="00493E29" w:rsidRPr="00F02471" w:rsidRDefault="00493E29" w:rsidP="00981325">
      <w:pPr>
        <w:pStyle w:val="Stext2"/>
        <w:rPr>
          <w:lang w:val="sr-Latn-CS"/>
        </w:rPr>
      </w:pPr>
      <w:r w:rsidRPr="00F02471">
        <w:rPr>
          <w:lang w:val="sr-Latn-CS"/>
        </w:rPr>
        <w:t>Захтев за Конкурсну документацију треба да садржи адресу и е-маил адресу заинтересованог лица на коју треба доставити Конкурсну документацију.</w:t>
      </w:r>
    </w:p>
    <w:p w14:paraId="3D06AE2C" w14:textId="77777777" w:rsidR="00493E29" w:rsidRPr="00F02471" w:rsidRDefault="00493E29" w:rsidP="00981325">
      <w:pPr>
        <w:pStyle w:val="Stext2"/>
        <w:rPr>
          <w:lang w:val="sr-Latn-CS"/>
        </w:rPr>
      </w:pPr>
      <w:r w:rsidRPr="00F02471">
        <w:rPr>
          <w:lang w:val="sr-Latn-CS"/>
        </w:rPr>
        <w:t>Само Захтев за Конкурсну документацију који испуњава услове из овог Одељка 3.1 ће се сматрати уредним и потпуним и омогућити заинтересованом лицу да преузме Конкурсну документацију.</w:t>
      </w:r>
    </w:p>
    <w:p w14:paraId="44549371" w14:textId="77777777" w:rsidR="00493E29" w:rsidRPr="00F02471" w:rsidRDefault="00493E29" w:rsidP="00F97EE8">
      <w:pPr>
        <w:pStyle w:val="Sheading2"/>
        <w:rPr>
          <w:lang w:val="sr-Latn-CS"/>
        </w:rPr>
      </w:pPr>
      <w:r w:rsidRPr="00F02471">
        <w:rPr>
          <w:lang w:val="sr-Latn-CS"/>
        </w:rPr>
        <w:t>Услови за учешће у Поступку доделе концесије</w:t>
      </w:r>
    </w:p>
    <w:p w14:paraId="7BA93E7F" w14:textId="77777777" w:rsidR="00493E29" w:rsidRPr="00F02471" w:rsidRDefault="00493E29" w:rsidP="00F97EE8">
      <w:pPr>
        <w:pStyle w:val="Sheading3"/>
        <w:rPr>
          <w:lang w:val="sr-Latn-CS"/>
        </w:rPr>
      </w:pPr>
      <w:r w:rsidRPr="00F02471">
        <w:rPr>
          <w:lang w:val="sr-Latn-CS"/>
        </w:rPr>
        <w:t>Обавезни услови за учешће</w:t>
      </w:r>
    </w:p>
    <w:p w14:paraId="26CF9649" w14:textId="77777777" w:rsidR="00493E29" w:rsidRPr="00F02471" w:rsidRDefault="00493E29" w:rsidP="00F97EE8">
      <w:pPr>
        <w:pStyle w:val="Stext3"/>
        <w:rPr>
          <w:lang w:val="sr-Latn-CS"/>
        </w:rPr>
      </w:pPr>
      <w:r w:rsidRPr="00F02471">
        <w:rPr>
          <w:lang w:val="sr-Latn-CS"/>
        </w:rPr>
        <w:t>Сваки понуђач мора да докаже да:</w:t>
      </w:r>
    </w:p>
    <w:p w14:paraId="04C523A6" w14:textId="77777777" w:rsidR="00493E29" w:rsidRPr="00F02471" w:rsidRDefault="00493E29" w:rsidP="00D0028D">
      <w:pPr>
        <w:pStyle w:val="Stext3"/>
        <w:numPr>
          <w:ilvl w:val="0"/>
          <w:numId w:val="26"/>
        </w:numPr>
        <w:rPr>
          <w:lang w:val="sr-Latn-CS"/>
        </w:rPr>
      </w:pPr>
      <w:r w:rsidRPr="00F02471">
        <w:rPr>
          <w:lang w:val="sr-Latn-CS"/>
        </w:rPr>
        <w:t>је активно правно лице, уписано у надлежни привредни регистар у земљи порекла;</w:t>
      </w:r>
    </w:p>
    <w:p w14:paraId="19F54277" w14:textId="77777777" w:rsidR="00493E29" w:rsidRPr="00F02471" w:rsidRDefault="00493E29" w:rsidP="00D0028D">
      <w:pPr>
        <w:pStyle w:val="Stext3"/>
        <w:numPr>
          <w:ilvl w:val="0"/>
          <w:numId w:val="26"/>
        </w:numPr>
        <w:rPr>
          <w:lang w:val="sr-Latn-CS"/>
        </w:rPr>
      </w:pPr>
      <w:r w:rsidRPr="00F02471">
        <w:rPr>
          <w:lang w:val="sr-Latn-CS"/>
        </w:rPr>
        <w:t>понуђач и његови законски заступници нису осуђивани за неко од кривичних дела као чланови организоване криминалне групе, да нису осуђивани због извршења кривичног дела против привреде, кривичних дела против животне средине, примања или давања мита или због преваре;</w:t>
      </w:r>
    </w:p>
    <w:p w14:paraId="71039AAE" w14:textId="77777777" w:rsidR="00493E29" w:rsidRPr="00F02471" w:rsidRDefault="00493E29" w:rsidP="00D0028D">
      <w:pPr>
        <w:pStyle w:val="Stext3"/>
        <w:numPr>
          <w:ilvl w:val="0"/>
          <w:numId w:val="26"/>
        </w:numPr>
        <w:rPr>
          <w:lang w:val="sr-Latn-CS"/>
        </w:rPr>
      </w:pPr>
      <w:r w:rsidRPr="00F02471">
        <w:rPr>
          <w:lang w:val="sr-Latn-CS"/>
        </w:rPr>
        <w:t>је измирио доспеле порезе, доприносе и остале јавне дажбине у складу са прописима Републике Србије или друге земље порекла;</w:t>
      </w:r>
    </w:p>
    <w:p w14:paraId="3252020B" w14:textId="77777777" w:rsidR="00493E29" w:rsidRPr="00F02471" w:rsidRDefault="00493E29" w:rsidP="00D0028D">
      <w:pPr>
        <w:pStyle w:val="Stext3"/>
        <w:numPr>
          <w:ilvl w:val="0"/>
          <w:numId w:val="26"/>
        </w:numPr>
        <w:rPr>
          <w:lang w:val="sr-Latn-CS"/>
        </w:rPr>
      </w:pPr>
      <w:r w:rsidRPr="00F02471">
        <w:rPr>
          <w:lang w:val="sr-Latn-CS"/>
        </w:rPr>
        <w:t>поштује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0F252B27" w14:textId="77777777" w:rsidR="00493E29" w:rsidRPr="00F02471" w:rsidRDefault="00493E29" w:rsidP="00F97EE8">
      <w:pPr>
        <w:pStyle w:val="Stext3"/>
        <w:rPr>
          <w:lang w:val="sr-Latn-CS"/>
        </w:rPr>
      </w:pPr>
      <w:r w:rsidRPr="00F02471">
        <w:rPr>
          <w:lang w:val="sr-Latn-CS"/>
        </w:rPr>
        <w:t xml:space="preserve">Докази за испуњење обавезних услова за учешће детаљно су предвиђени у </w:t>
      </w:r>
      <w:r w:rsidRPr="00F02471">
        <w:rPr>
          <w:u w:val="single"/>
          <w:lang w:val="sr-Latn-CS"/>
        </w:rPr>
        <w:t>Додатку 2</w:t>
      </w:r>
      <w:r w:rsidRPr="00F02471">
        <w:rPr>
          <w:lang w:val="sr-Latn-CS"/>
        </w:rPr>
        <w:t xml:space="preserve"> овог Јавног позива.</w:t>
      </w:r>
    </w:p>
    <w:p w14:paraId="1FF531C4" w14:textId="77777777" w:rsidR="00493E29" w:rsidRPr="00F02471" w:rsidRDefault="00493E29" w:rsidP="00F97EE8">
      <w:pPr>
        <w:pStyle w:val="Sheading3"/>
        <w:rPr>
          <w:lang w:val="sr-Latn-CS"/>
        </w:rPr>
      </w:pPr>
      <w:r w:rsidRPr="00F02471">
        <w:rPr>
          <w:lang w:val="sr-Latn-CS"/>
        </w:rPr>
        <w:t>Додатни услови за учешће, односно квалификациони услови</w:t>
      </w:r>
    </w:p>
    <w:p w14:paraId="1C82E154" w14:textId="77777777" w:rsidR="00F8350C" w:rsidRPr="00F02471" w:rsidRDefault="00493E29" w:rsidP="00F97EE8">
      <w:pPr>
        <w:pStyle w:val="Stext3"/>
        <w:rPr>
          <w:lang w:val="sr-Latn-CS" w:eastAsia="en-US"/>
        </w:rPr>
      </w:pPr>
      <w:r w:rsidRPr="00F02471">
        <w:rPr>
          <w:lang w:val="sr-Latn-CS" w:eastAsia="en-US"/>
        </w:rPr>
        <w:t>Сваки понуђач мора да испуни следеће квалификационе услове:</w:t>
      </w:r>
    </w:p>
    <w:p w14:paraId="640B2509" w14:textId="77777777" w:rsidR="00F8350C" w:rsidRPr="00F8350C" w:rsidRDefault="00F8350C" w:rsidP="00F8350C">
      <w:pPr>
        <w:pStyle w:val="ListParagraph"/>
        <w:numPr>
          <w:ilvl w:val="0"/>
          <w:numId w:val="35"/>
        </w:numPr>
        <w:spacing w:after="160" w:line="259" w:lineRule="auto"/>
        <w:ind w:left="540" w:firstLine="540"/>
        <w:jc w:val="both"/>
        <w:rPr>
          <w:rFonts w:ascii="Verdana" w:hAnsi="Verdana"/>
          <w:b/>
          <w:sz w:val="20"/>
          <w:szCs w:val="20"/>
          <w:lang w:val="sr-Latn-RS"/>
        </w:rPr>
      </w:pPr>
      <w:r w:rsidRPr="00F8350C">
        <w:rPr>
          <w:rFonts w:ascii="Verdana" w:hAnsi="Verdana"/>
          <w:b/>
          <w:sz w:val="20"/>
          <w:szCs w:val="20"/>
          <w:lang w:val="sr-Latn-RS"/>
        </w:rPr>
        <w:t>Пословни капацитет</w:t>
      </w:r>
    </w:p>
    <w:p w14:paraId="1A98BC17" w14:textId="77777777" w:rsidR="00F8350C" w:rsidRPr="00F8350C" w:rsidRDefault="00F8350C" w:rsidP="00F8350C">
      <w:pPr>
        <w:numPr>
          <w:ilvl w:val="0"/>
          <w:numId w:val="34"/>
        </w:numPr>
        <w:spacing w:after="160" w:line="259" w:lineRule="auto"/>
        <w:contextualSpacing/>
        <w:rPr>
          <w:rFonts w:ascii="Verdana" w:eastAsia="Calibri" w:hAnsi="Verdana"/>
          <w:sz w:val="20"/>
          <w:szCs w:val="20"/>
          <w:lang w:val="sr-Latn-RS"/>
        </w:rPr>
      </w:pPr>
      <w:r w:rsidRPr="00F8350C">
        <w:rPr>
          <w:rFonts w:ascii="Verdana" w:eastAsia="Calibri" w:hAnsi="Verdana"/>
          <w:sz w:val="20"/>
          <w:szCs w:val="20"/>
          <w:lang w:val="sr-Latn-RS"/>
        </w:rPr>
        <w:t xml:space="preserve">да </w:t>
      </w:r>
      <w:r w:rsidR="00DD021C">
        <w:rPr>
          <w:rFonts w:ascii="Verdana" w:eastAsia="Calibri" w:hAnsi="Verdana"/>
          <w:sz w:val="20"/>
          <w:szCs w:val="20"/>
          <w:lang w:val="sr-Cyrl-RS"/>
        </w:rPr>
        <w:t xml:space="preserve">најмање у периоду од 1 године </w:t>
      </w:r>
      <w:r w:rsidRPr="00F8350C">
        <w:rPr>
          <w:rFonts w:ascii="Verdana" w:eastAsia="Calibri" w:hAnsi="Verdana"/>
          <w:sz w:val="20"/>
          <w:szCs w:val="20"/>
          <w:lang w:val="sr-Latn-RS"/>
        </w:rPr>
        <w:t>Понуђач обавља</w:t>
      </w:r>
      <w:r w:rsidR="00DD021C">
        <w:rPr>
          <w:rFonts w:ascii="Verdana" w:eastAsia="Calibri" w:hAnsi="Verdana"/>
          <w:sz w:val="20"/>
          <w:szCs w:val="20"/>
          <w:lang w:val="sr-Cyrl-RS"/>
        </w:rPr>
        <w:t xml:space="preserve"> или је обављао</w:t>
      </w:r>
      <w:r w:rsidRPr="00F8350C">
        <w:rPr>
          <w:rFonts w:ascii="Verdana" w:eastAsia="Calibri" w:hAnsi="Verdana"/>
          <w:sz w:val="20"/>
          <w:szCs w:val="20"/>
          <w:lang w:val="sr-Latn-RS"/>
        </w:rPr>
        <w:t xml:space="preserve"> најмање две од четири делатности које се поверавају</w:t>
      </w:r>
    </w:p>
    <w:p w14:paraId="70746E75" w14:textId="77777777" w:rsidR="00F8350C" w:rsidRPr="00F8350C" w:rsidRDefault="00F8350C" w:rsidP="00F8350C">
      <w:pPr>
        <w:numPr>
          <w:ilvl w:val="0"/>
          <w:numId w:val="34"/>
        </w:numPr>
        <w:spacing w:after="160" w:line="259" w:lineRule="auto"/>
        <w:contextualSpacing/>
        <w:rPr>
          <w:rFonts w:ascii="Verdana" w:eastAsia="Calibri" w:hAnsi="Verdana"/>
          <w:sz w:val="20"/>
          <w:szCs w:val="20"/>
          <w:lang w:val="sr-Latn-RS"/>
        </w:rPr>
      </w:pPr>
      <w:r w:rsidRPr="00F8350C">
        <w:rPr>
          <w:rFonts w:ascii="Verdana" w:eastAsia="Calibri" w:hAnsi="Verdana"/>
          <w:sz w:val="20"/>
          <w:szCs w:val="20"/>
          <w:lang w:val="sr-Latn-RS"/>
        </w:rPr>
        <w:t>да послује најмање 15 година у Републици Србији</w:t>
      </w:r>
    </w:p>
    <w:p w14:paraId="3DBE6FDF" w14:textId="77777777" w:rsidR="00F8350C" w:rsidRPr="00F8350C" w:rsidRDefault="00F8350C" w:rsidP="00F8350C">
      <w:pPr>
        <w:spacing w:after="160" w:line="259" w:lineRule="auto"/>
        <w:ind w:left="720"/>
        <w:contextualSpacing/>
        <w:rPr>
          <w:rFonts w:ascii="Verdana" w:eastAsia="Calibri" w:hAnsi="Verdana"/>
          <w:sz w:val="20"/>
          <w:szCs w:val="20"/>
          <w:lang w:val="sr-Latn-RS"/>
        </w:rPr>
      </w:pPr>
    </w:p>
    <w:p w14:paraId="4DD6911B" w14:textId="77777777" w:rsidR="00F8350C" w:rsidRPr="00F8350C" w:rsidRDefault="00F8350C" w:rsidP="00F8350C">
      <w:pPr>
        <w:pStyle w:val="ListParagraph"/>
        <w:numPr>
          <w:ilvl w:val="0"/>
          <w:numId w:val="35"/>
        </w:numPr>
        <w:spacing w:after="160" w:line="259" w:lineRule="auto"/>
        <w:jc w:val="both"/>
        <w:rPr>
          <w:rFonts w:ascii="Verdana" w:hAnsi="Verdana"/>
          <w:b/>
          <w:sz w:val="20"/>
          <w:szCs w:val="20"/>
          <w:lang w:val="sr-Latn-RS"/>
        </w:rPr>
      </w:pPr>
      <w:r w:rsidRPr="00F8350C">
        <w:rPr>
          <w:rFonts w:ascii="Verdana" w:hAnsi="Verdana"/>
          <w:b/>
          <w:sz w:val="20"/>
          <w:szCs w:val="20"/>
          <w:lang w:val="sr-Latn-RS"/>
        </w:rPr>
        <w:t>Кадровски капацитет</w:t>
      </w:r>
    </w:p>
    <w:p w14:paraId="3B89A382" w14:textId="77777777" w:rsidR="00F8350C" w:rsidRPr="00F8350C" w:rsidRDefault="00F8350C" w:rsidP="00F8350C">
      <w:pPr>
        <w:numPr>
          <w:ilvl w:val="0"/>
          <w:numId w:val="34"/>
        </w:numPr>
        <w:spacing w:after="160" w:line="259" w:lineRule="auto"/>
        <w:contextualSpacing/>
        <w:rPr>
          <w:rFonts w:ascii="Verdana" w:eastAsia="Calibri" w:hAnsi="Verdana"/>
          <w:sz w:val="20"/>
          <w:szCs w:val="20"/>
          <w:lang w:val="sr-Latn-RS"/>
        </w:rPr>
      </w:pPr>
      <w:r w:rsidRPr="00F8350C">
        <w:rPr>
          <w:rFonts w:ascii="Verdana" w:eastAsia="Calibri" w:hAnsi="Verdana"/>
          <w:sz w:val="20"/>
          <w:szCs w:val="20"/>
          <w:lang w:val="sr-Latn-RS"/>
        </w:rPr>
        <w:lastRenderedPageBreak/>
        <w:t>да има најмање 150 запослених и радно ангажованих лица, од којих</w:t>
      </w:r>
      <w:r w:rsidRPr="00F8350C">
        <w:rPr>
          <w:rFonts w:ascii="Verdana" w:eastAsia="Calibri" w:hAnsi="Verdana"/>
          <w:sz w:val="20"/>
          <w:szCs w:val="20"/>
          <w:lang w:val="sr-Cyrl-RS"/>
        </w:rPr>
        <w:t xml:space="preserve"> обавезно:</w:t>
      </w:r>
    </w:p>
    <w:p w14:paraId="2A527EE1" w14:textId="77777777" w:rsidR="00F8350C" w:rsidRPr="00F8350C" w:rsidRDefault="00F8350C" w:rsidP="00F8350C">
      <w:pPr>
        <w:spacing w:after="160" w:line="259" w:lineRule="auto"/>
        <w:ind w:left="1440"/>
        <w:contextualSpacing/>
        <w:rPr>
          <w:rFonts w:ascii="Verdana" w:eastAsia="Calibri" w:hAnsi="Verdana"/>
          <w:sz w:val="20"/>
          <w:szCs w:val="20"/>
          <w:lang w:val="sr-Latn-RS"/>
        </w:rPr>
      </w:pPr>
    </w:p>
    <w:tbl>
      <w:tblPr>
        <w:tblStyle w:val="TableGrid"/>
        <w:tblW w:w="7910" w:type="dxa"/>
        <w:tblInd w:w="1440" w:type="dxa"/>
        <w:tblLook w:val="04A0" w:firstRow="1" w:lastRow="0" w:firstColumn="1" w:lastColumn="0" w:noHBand="0" w:noVBand="1"/>
      </w:tblPr>
      <w:tblGrid>
        <w:gridCol w:w="609"/>
        <w:gridCol w:w="5066"/>
        <w:gridCol w:w="2235"/>
      </w:tblGrid>
      <w:tr w:rsidR="00F8350C" w:rsidRPr="00F8350C" w14:paraId="781F6EA1" w14:textId="77777777" w:rsidTr="00184CBF">
        <w:tc>
          <w:tcPr>
            <w:tcW w:w="560" w:type="dxa"/>
            <w:shd w:val="clear" w:color="auto" w:fill="D9D9D9" w:themeFill="background1" w:themeFillShade="D9"/>
          </w:tcPr>
          <w:p w14:paraId="39DA509C" w14:textId="77777777" w:rsidR="00F8350C" w:rsidRPr="00F8350C" w:rsidRDefault="00F8350C" w:rsidP="00184CBF">
            <w:pPr>
              <w:spacing w:after="160" w:line="259" w:lineRule="auto"/>
              <w:contextualSpacing/>
              <w:jc w:val="center"/>
              <w:rPr>
                <w:rFonts w:ascii="Verdana" w:eastAsia="Calibri" w:hAnsi="Verdana"/>
                <w:sz w:val="20"/>
                <w:szCs w:val="20"/>
                <w:lang w:val="sr-Cyrl-RS"/>
              </w:rPr>
            </w:pPr>
            <w:r w:rsidRPr="00F8350C">
              <w:rPr>
                <w:rFonts w:ascii="Verdana" w:eastAsia="Calibri" w:hAnsi="Verdana"/>
                <w:sz w:val="20"/>
                <w:szCs w:val="20"/>
                <w:lang w:val="sr-Cyrl-RS"/>
              </w:rPr>
              <w:t>р.б.</w:t>
            </w:r>
          </w:p>
        </w:tc>
        <w:tc>
          <w:tcPr>
            <w:tcW w:w="5105" w:type="dxa"/>
            <w:shd w:val="clear" w:color="auto" w:fill="D9D9D9" w:themeFill="background1" w:themeFillShade="D9"/>
          </w:tcPr>
          <w:p w14:paraId="07534678" w14:textId="77777777" w:rsidR="00F8350C" w:rsidRPr="00F8350C" w:rsidRDefault="00F8350C" w:rsidP="00184CBF">
            <w:pPr>
              <w:spacing w:after="160" w:line="259" w:lineRule="auto"/>
              <w:contextualSpacing/>
              <w:jc w:val="center"/>
              <w:rPr>
                <w:rFonts w:ascii="Verdana" w:eastAsia="Calibri" w:hAnsi="Verdana"/>
                <w:sz w:val="20"/>
                <w:szCs w:val="20"/>
                <w:lang w:val="sr-Cyrl-RS"/>
              </w:rPr>
            </w:pPr>
            <w:r w:rsidRPr="00F8350C">
              <w:rPr>
                <w:rFonts w:ascii="Verdana" w:eastAsia="Calibri" w:hAnsi="Verdana"/>
                <w:sz w:val="20"/>
                <w:szCs w:val="20"/>
                <w:lang w:val="sr-Cyrl-RS"/>
              </w:rPr>
              <w:t>стручна спрема</w:t>
            </w:r>
          </w:p>
        </w:tc>
        <w:tc>
          <w:tcPr>
            <w:tcW w:w="2245" w:type="dxa"/>
            <w:shd w:val="clear" w:color="auto" w:fill="D9D9D9" w:themeFill="background1" w:themeFillShade="D9"/>
          </w:tcPr>
          <w:p w14:paraId="20C31C3F" w14:textId="77777777" w:rsidR="00F8350C" w:rsidRPr="00F8350C" w:rsidRDefault="00F8350C" w:rsidP="00184CBF">
            <w:pPr>
              <w:spacing w:after="160" w:line="259" w:lineRule="auto"/>
              <w:contextualSpacing/>
              <w:jc w:val="center"/>
              <w:rPr>
                <w:rFonts w:ascii="Verdana" w:eastAsia="Calibri" w:hAnsi="Verdana"/>
                <w:sz w:val="20"/>
                <w:szCs w:val="20"/>
                <w:lang w:val="sr-Cyrl-RS"/>
              </w:rPr>
            </w:pPr>
            <w:r w:rsidRPr="00F8350C">
              <w:rPr>
                <w:rFonts w:ascii="Verdana" w:eastAsia="Calibri" w:hAnsi="Verdana"/>
                <w:sz w:val="20"/>
                <w:szCs w:val="20"/>
                <w:lang w:val="sr-Cyrl-RS"/>
              </w:rPr>
              <w:t>број извршилаца</w:t>
            </w:r>
          </w:p>
        </w:tc>
      </w:tr>
      <w:tr w:rsidR="00F8350C" w:rsidRPr="00F8350C" w14:paraId="0FBB0A7C" w14:textId="77777777" w:rsidTr="00184CBF">
        <w:tc>
          <w:tcPr>
            <w:tcW w:w="560" w:type="dxa"/>
          </w:tcPr>
          <w:p w14:paraId="68E41D35" w14:textId="77777777" w:rsidR="00F8350C" w:rsidRPr="00F8350C" w:rsidRDefault="00F8350C" w:rsidP="00184CBF">
            <w:pPr>
              <w:spacing w:after="160" w:line="259" w:lineRule="auto"/>
              <w:contextualSpacing/>
              <w:rPr>
                <w:rFonts w:ascii="Verdana" w:eastAsia="Calibri" w:hAnsi="Verdana"/>
                <w:sz w:val="20"/>
                <w:szCs w:val="20"/>
                <w:lang w:val="sr-Cyrl-RS"/>
              </w:rPr>
            </w:pPr>
            <w:r w:rsidRPr="00F8350C">
              <w:rPr>
                <w:rFonts w:ascii="Verdana" w:eastAsia="Calibri" w:hAnsi="Verdana"/>
                <w:sz w:val="20"/>
                <w:szCs w:val="20"/>
                <w:lang w:val="sr-Cyrl-RS"/>
              </w:rPr>
              <w:t>1</w:t>
            </w:r>
          </w:p>
        </w:tc>
        <w:tc>
          <w:tcPr>
            <w:tcW w:w="5105" w:type="dxa"/>
          </w:tcPr>
          <w:p w14:paraId="12416AE0" w14:textId="77777777" w:rsidR="00F8350C" w:rsidRPr="00F8350C" w:rsidRDefault="00F8350C" w:rsidP="00184CBF">
            <w:pPr>
              <w:spacing w:after="160" w:line="259" w:lineRule="auto"/>
              <w:contextualSpacing/>
              <w:jc w:val="center"/>
              <w:rPr>
                <w:rFonts w:ascii="Verdana" w:eastAsia="Calibri" w:hAnsi="Verdana"/>
                <w:sz w:val="20"/>
                <w:szCs w:val="20"/>
                <w:lang w:val="sr-Cyrl-RS"/>
              </w:rPr>
            </w:pPr>
            <w:r w:rsidRPr="00F8350C">
              <w:rPr>
                <w:rFonts w:ascii="Verdana" w:eastAsia="Calibri" w:hAnsi="Verdana"/>
                <w:sz w:val="20"/>
                <w:szCs w:val="20"/>
                <w:lang w:val="sr-Cyrl-RS"/>
              </w:rPr>
              <w:t>дипл.инг.заштите биља</w:t>
            </w:r>
          </w:p>
        </w:tc>
        <w:tc>
          <w:tcPr>
            <w:tcW w:w="2245" w:type="dxa"/>
          </w:tcPr>
          <w:p w14:paraId="72ADC713" w14:textId="77777777" w:rsidR="00F8350C" w:rsidRPr="00F8350C" w:rsidRDefault="00F8350C" w:rsidP="00184CBF">
            <w:pPr>
              <w:spacing w:after="160" w:line="259" w:lineRule="auto"/>
              <w:contextualSpacing/>
              <w:jc w:val="right"/>
              <w:rPr>
                <w:rFonts w:ascii="Verdana" w:eastAsia="Calibri" w:hAnsi="Verdana"/>
                <w:sz w:val="20"/>
                <w:szCs w:val="20"/>
                <w:lang w:val="sr-Cyrl-RS"/>
              </w:rPr>
            </w:pPr>
            <w:r w:rsidRPr="00F8350C">
              <w:rPr>
                <w:rFonts w:ascii="Verdana" w:eastAsia="Calibri" w:hAnsi="Verdana"/>
                <w:sz w:val="20"/>
                <w:szCs w:val="20"/>
                <w:lang w:val="sr-Cyrl-RS"/>
              </w:rPr>
              <w:t>1 лице</w:t>
            </w:r>
          </w:p>
        </w:tc>
      </w:tr>
      <w:tr w:rsidR="00F8350C" w:rsidRPr="00F8350C" w14:paraId="04F03DD3" w14:textId="77777777" w:rsidTr="00184CBF">
        <w:tc>
          <w:tcPr>
            <w:tcW w:w="560" w:type="dxa"/>
          </w:tcPr>
          <w:p w14:paraId="158DDDCA" w14:textId="77777777" w:rsidR="00F8350C" w:rsidRPr="00F8350C" w:rsidRDefault="00F8350C" w:rsidP="00184CBF">
            <w:pPr>
              <w:spacing w:after="160" w:line="259" w:lineRule="auto"/>
              <w:contextualSpacing/>
              <w:rPr>
                <w:rFonts w:ascii="Verdana" w:eastAsia="Calibri" w:hAnsi="Verdana"/>
                <w:sz w:val="20"/>
                <w:szCs w:val="20"/>
                <w:lang w:val="sr-Cyrl-RS"/>
              </w:rPr>
            </w:pPr>
            <w:r w:rsidRPr="00F8350C">
              <w:rPr>
                <w:rFonts w:ascii="Verdana" w:eastAsia="Calibri" w:hAnsi="Verdana"/>
                <w:sz w:val="20"/>
                <w:szCs w:val="20"/>
                <w:lang w:val="sr-Cyrl-RS"/>
              </w:rPr>
              <w:t>2</w:t>
            </w:r>
          </w:p>
        </w:tc>
        <w:tc>
          <w:tcPr>
            <w:tcW w:w="5105" w:type="dxa"/>
          </w:tcPr>
          <w:p w14:paraId="7E823E55" w14:textId="77777777" w:rsidR="00F8350C" w:rsidRPr="00F8350C" w:rsidRDefault="00F8350C" w:rsidP="00184CBF">
            <w:pPr>
              <w:spacing w:after="160" w:line="259" w:lineRule="auto"/>
              <w:contextualSpacing/>
              <w:jc w:val="center"/>
              <w:rPr>
                <w:rFonts w:ascii="Verdana" w:eastAsia="Calibri" w:hAnsi="Verdana"/>
                <w:sz w:val="20"/>
                <w:szCs w:val="20"/>
                <w:lang w:val="sr-Cyrl-RS"/>
              </w:rPr>
            </w:pPr>
            <w:r w:rsidRPr="00F8350C">
              <w:rPr>
                <w:rFonts w:ascii="Verdana" w:eastAsia="Calibri" w:hAnsi="Verdana"/>
                <w:sz w:val="20"/>
                <w:szCs w:val="20"/>
                <w:lang w:val="sr-Cyrl-RS"/>
              </w:rPr>
              <w:t>дипл.инг. пејзажне архитектуре</w:t>
            </w:r>
          </w:p>
        </w:tc>
        <w:tc>
          <w:tcPr>
            <w:tcW w:w="2245" w:type="dxa"/>
          </w:tcPr>
          <w:p w14:paraId="659E4CAC" w14:textId="77777777" w:rsidR="00F8350C" w:rsidRPr="00F8350C" w:rsidRDefault="00F8350C" w:rsidP="00184CBF">
            <w:pPr>
              <w:spacing w:after="160" w:line="259" w:lineRule="auto"/>
              <w:contextualSpacing/>
              <w:jc w:val="right"/>
              <w:rPr>
                <w:rFonts w:ascii="Verdana" w:eastAsia="Calibri" w:hAnsi="Verdana"/>
                <w:sz w:val="20"/>
                <w:szCs w:val="20"/>
                <w:lang w:val="sr-Cyrl-RS"/>
              </w:rPr>
            </w:pPr>
            <w:r w:rsidRPr="00F8350C">
              <w:rPr>
                <w:rFonts w:ascii="Verdana" w:eastAsia="Calibri" w:hAnsi="Verdana"/>
                <w:sz w:val="20"/>
                <w:szCs w:val="20"/>
                <w:lang w:val="sr-Cyrl-RS"/>
              </w:rPr>
              <w:t>2 лица</w:t>
            </w:r>
          </w:p>
        </w:tc>
      </w:tr>
      <w:tr w:rsidR="00F8350C" w:rsidRPr="00F8350C" w14:paraId="512BC6D7" w14:textId="77777777" w:rsidTr="00184CBF">
        <w:trPr>
          <w:trHeight w:val="89"/>
        </w:trPr>
        <w:tc>
          <w:tcPr>
            <w:tcW w:w="560" w:type="dxa"/>
          </w:tcPr>
          <w:p w14:paraId="0F808B3E" w14:textId="77777777" w:rsidR="00F8350C" w:rsidRPr="00F8350C" w:rsidRDefault="00F8350C" w:rsidP="00184CBF">
            <w:pPr>
              <w:spacing w:after="160" w:line="259" w:lineRule="auto"/>
              <w:contextualSpacing/>
              <w:rPr>
                <w:rFonts w:ascii="Verdana" w:eastAsia="Calibri" w:hAnsi="Verdana"/>
                <w:sz w:val="20"/>
                <w:szCs w:val="20"/>
                <w:lang w:val="sr-Cyrl-RS"/>
              </w:rPr>
            </w:pPr>
            <w:r w:rsidRPr="00F8350C">
              <w:rPr>
                <w:rFonts w:ascii="Verdana" w:eastAsia="Calibri" w:hAnsi="Verdana"/>
                <w:sz w:val="20"/>
                <w:szCs w:val="20"/>
                <w:lang w:val="sr-Cyrl-RS"/>
              </w:rPr>
              <w:t>3</w:t>
            </w:r>
          </w:p>
        </w:tc>
        <w:tc>
          <w:tcPr>
            <w:tcW w:w="5105" w:type="dxa"/>
          </w:tcPr>
          <w:p w14:paraId="516A76DB" w14:textId="77777777" w:rsidR="00F8350C" w:rsidRPr="00F8350C" w:rsidRDefault="00F8350C" w:rsidP="00184CBF">
            <w:pPr>
              <w:spacing w:after="160" w:line="259" w:lineRule="auto"/>
              <w:contextualSpacing/>
              <w:jc w:val="center"/>
              <w:rPr>
                <w:rFonts w:ascii="Verdana" w:eastAsia="Calibri" w:hAnsi="Verdana"/>
                <w:sz w:val="20"/>
                <w:szCs w:val="20"/>
                <w:lang w:val="sr-Cyrl-RS"/>
              </w:rPr>
            </w:pPr>
            <w:r w:rsidRPr="00F8350C">
              <w:rPr>
                <w:rFonts w:ascii="Verdana" w:eastAsia="Calibri" w:hAnsi="Verdana"/>
                <w:sz w:val="20"/>
                <w:szCs w:val="20"/>
                <w:lang w:val="sr-Cyrl-RS"/>
              </w:rPr>
              <w:t>висока стручна спрема</w:t>
            </w:r>
          </w:p>
        </w:tc>
        <w:tc>
          <w:tcPr>
            <w:tcW w:w="2245" w:type="dxa"/>
          </w:tcPr>
          <w:p w14:paraId="7C5E8546" w14:textId="77777777" w:rsidR="00F8350C" w:rsidRPr="00F8350C" w:rsidRDefault="00F8350C" w:rsidP="00184CBF">
            <w:pPr>
              <w:spacing w:after="160" w:line="259" w:lineRule="auto"/>
              <w:contextualSpacing/>
              <w:jc w:val="right"/>
              <w:rPr>
                <w:rFonts w:ascii="Verdana" w:eastAsia="Calibri" w:hAnsi="Verdana"/>
                <w:sz w:val="20"/>
                <w:szCs w:val="20"/>
                <w:lang w:val="sr-Cyrl-RS"/>
              </w:rPr>
            </w:pPr>
            <w:r w:rsidRPr="00F8350C">
              <w:rPr>
                <w:rFonts w:ascii="Verdana" w:eastAsia="Calibri" w:hAnsi="Verdana"/>
                <w:sz w:val="20"/>
                <w:szCs w:val="20"/>
                <w:lang w:val="sr-Cyrl-RS"/>
              </w:rPr>
              <w:t>2 лица</w:t>
            </w:r>
          </w:p>
        </w:tc>
      </w:tr>
    </w:tbl>
    <w:p w14:paraId="1777FC0D" w14:textId="77777777" w:rsidR="00F8350C" w:rsidRPr="00F8350C" w:rsidRDefault="00F8350C" w:rsidP="00F8350C">
      <w:pPr>
        <w:spacing w:after="160" w:line="259" w:lineRule="auto"/>
        <w:ind w:left="1440"/>
        <w:contextualSpacing/>
        <w:rPr>
          <w:rFonts w:ascii="Verdana" w:eastAsia="Calibri" w:hAnsi="Verdana"/>
          <w:sz w:val="20"/>
          <w:szCs w:val="20"/>
          <w:lang w:val="sr-Latn-RS"/>
        </w:rPr>
      </w:pPr>
    </w:p>
    <w:p w14:paraId="710D3F4F" w14:textId="77777777" w:rsidR="00F8350C" w:rsidRPr="00F8350C" w:rsidRDefault="00F8350C" w:rsidP="00F8350C">
      <w:pPr>
        <w:pStyle w:val="ListParagraph"/>
        <w:numPr>
          <w:ilvl w:val="0"/>
          <w:numId w:val="35"/>
        </w:numPr>
        <w:spacing w:after="160" w:line="259" w:lineRule="auto"/>
        <w:jc w:val="both"/>
        <w:rPr>
          <w:rFonts w:ascii="Verdana" w:hAnsi="Verdana"/>
          <w:b/>
          <w:sz w:val="20"/>
          <w:szCs w:val="20"/>
          <w:lang w:val="sr-Latn-RS"/>
        </w:rPr>
      </w:pPr>
      <w:r w:rsidRPr="00F8350C">
        <w:rPr>
          <w:rFonts w:ascii="Verdana" w:hAnsi="Verdana"/>
          <w:b/>
          <w:sz w:val="20"/>
          <w:szCs w:val="20"/>
          <w:lang w:val="sr-Latn-RS"/>
        </w:rPr>
        <w:t>Стандарди пословања</w:t>
      </w:r>
    </w:p>
    <w:p w14:paraId="2442A992" w14:textId="77777777" w:rsidR="00F8350C" w:rsidRPr="00F8350C" w:rsidRDefault="00F8350C" w:rsidP="00F8350C">
      <w:pPr>
        <w:numPr>
          <w:ilvl w:val="0"/>
          <w:numId w:val="34"/>
        </w:numPr>
        <w:spacing w:after="160" w:line="259" w:lineRule="auto"/>
        <w:contextualSpacing/>
        <w:rPr>
          <w:rFonts w:ascii="Verdana" w:eastAsia="Calibri" w:hAnsi="Verdana"/>
          <w:sz w:val="20"/>
          <w:szCs w:val="20"/>
          <w:lang w:val="sr-Latn-RS"/>
        </w:rPr>
      </w:pPr>
      <w:r w:rsidRPr="00F8350C">
        <w:rPr>
          <w:rFonts w:ascii="Verdana" w:eastAsia="Calibri" w:hAnsi="Verdana"/>
          <w:sz w:val="20"/>
          <w:szCs w:val="20"/>
          <w:lang w:val="sr-Latn-RS"/>
        </w:rPr>
        <w:t>да поседује ИСО стандарде: 9001; 14001; 45001</w:t>
      </w:r>
    </w:p>
    <w:p w14:paraId="2C7000DC" w14:textId="77777777" w:rsidR="00F8350C" w:rsidRPr="00F8350C" w:rsidRDefault="00F8350C" w:rsidP="00F8350C">
      <w:pPr>
        <w:spacing w:after="160" w:line="259" w:lineRule="auto"/>
        <w:ind w:left="720"/>
        <w:contextualSpacing/>
        <w:rPr>
          <w:rFonts w:ascii="Verdana" w:eastAsia="Calibri" w:hAnsi="Verdana"/>
          <w:sz w:val="20"/>
          <w:szCs w:val="20"/>
          <w:lang w:val="sr-Latn-RS"/>
        </w:rPr>
      </w:pPr>
    </w:p>
    <w:p w14:paraId="5FDDC1F3" w14:textId="77777777" w:rsidR="00F8350C" w:rsidRPr="00F8350C" w:rsidRDefault="00F8350C" w:rsidP="00F8350C">
      <w:pPr>
        <w:pStyle w:val="ListParagraph"/>
        <w:numPr>
          <w:ilvl w:val="0"/>
          <w:numId w:val="35"/>
        </w:numPr>
        <w:spacing w:after="160" w:line="259" w:lineRule="auto"/>
        <w:jc w:val="both"/>
        <w:rPr>
          <w:rFonts w:ascii="Verdana" w:hAnsi="Verdana"/>
          <w:b/>
          <w:sz w:val="20"/>
          <w:szCs w:val="20"/>
          <w:lang w:val="sr-Latn-RS"/>
        </w:rPr>
      </w:pPr>
      <w:r w:rsidRPr="00F8350C">
        <w:rPr>
          <w:rFonts w:ascii="Verdana" w:hAnsi="Verdana"/>
          <w:b/>
          <w:sz w:val="20"/>
          <w:szCs w:val="20"/>
          <w:lang w:val="sr-Latn-RS"/>
        </w:rPr>
        <w:t>Финансијски капацитет</w:t>
      </w:r>
    </w:p>
    <w:p w14:paraId="596672CC" w14:textId="77777777" w:rsidR="00F8350C" w:rsidRPr="00F8350C" w:rsidRDefault="00F8350C" w:rsidP="00353027">
      <w:pPr>
        <w:numPr>
          <w:ilvl w:val="0"/>
          <w:numId w:val="34"/>
        </w:numPr>
        <w:spacing w:after="160" w:line="259" w:lineRule="auto"/>
        <w:contextualSpacing/>
        <w:jc w:val="both"/>
        <w:rPr>
          <w:rFonts w:ascii="Verdana" w:eastAsia="Calibri" w:hAnsi="Verdana"/>
          <w:sz w:val="20"/>
          <w:szCs w:val="20"/>
          <w:lang w:val="sr-Latn-RS"/>
        </w:rPr>
      </w:pPr>
      <w:r w:rsidRPr="00F8350C">
        <w:rPr>
          <w:rFonts w:ascii="Verdana" w:eastAsia="Calibri" w:hAnsi="Verdana"/>
          <w:sz w:val="20"/>
          <w:szCs w:val="20"/>
          <w:lang w:val="sr-Latn-RS"/>
        </w:rPr>
        <w:t xml:space="preserve">да је у периоду од 3 године које претходе објављивању јавног позива </w:t>
      </w:r>
      <w:r w:rsidR="00353027">
        <w:rPr>
          <w:rFonts w:ascii="Verdana" w:eastAsia="Calibri" w:hAnsi="Verdana"/>
          <w:sz w:val="20"/>
          <w:szCs w:val="20"/>
          <w:lang w:val="sr-Cyrl-RS"/>
        </w:rPr>
        <w:t>о</w:t>
      </w:r>
      <w:r w:rsidRPr="00F8350C">
        <w:rPr>
          <w:rFonts w:ascii="Verdana" w:eastAsia="Calibri" w:hAnsi="Verdana"/>
          <w:sz w:val="20"/>
          <w:szCs w:val="20"/>
          <w:lang w:val="sr-Latn-RS"/>
        </w:rPr>
        <w:t>стварио промет од делатности из прве тачке изнад од најмање 900 милиона РСД</w:t>
      </w:r>
    </w:p>
    <w:p w14:paraId="4A4EEF0D" w14:textId="77777777" w:rsidR="00F8350C" w:rsidRPr="00F8350C" w:rsidRDefault="00F8350C" w:rsidP="00353027">
      <w:pPr>
        <w:numPr>
          <w:ilvl w:val="0"/>
          <w:numId w:val="34"/>
        </w:numPr>
        <w:spacing w:after="160" w:line="259" w:lineRule="auto"/>
        <w:contextualSpacing/>
        <w:jc w:val="both"/>
        <w:rPr>
          <w:rFonts w:ascii="Verdana" w:eastAsia="Calibri" w:hAnsi="Verdana"/>
          <w:sz w:val="20"/>
          <w:szCs w:val="20"/>
          <w:lang w:val="sr-Latn-RS"/>
        </w:rPr>
      </w:pPr>
      <w:r w:rsidRPr="00F8350C">
        <w:rPr>
          <w:rFonts w:ascii="Verdana" w:eastAsia="Calibri" w:hAnsi="Verdana"/>
          <w:sz w:val="20"/>
          <w:szCs w:val="20"/>
          <w:lang w:val="sr-Latn-RS"/>
        </w:rPr>
        <w:t>референтна листа у последње 3 године послова вредности од 200 милиона РСД</w:t>
      </w:r>
    </w:p>
    <w:p w14:paraId="513591A0" w14:textId="77777777" w:rsidR="00F8350C" w:rsidRPr="00F8350C" w:rsidRDefault="00F8350C" w:rsidP="00F8350C">
      <w:pPr>
        <w:rPr>
          <w:rFonts w:ascii="Verdana" w:eastAsia="Calibri" w:hAnsi="Verdana"/>
          <w:sz w:val="20"/>
          <w:szCs w:val="20"/>
          <w:lang w:val="sr-Latn-RS"/>
        </w:rPr>
      </w:pPr>
      <w:r w:rsidRPr="00F8350C">
        <w:rPr>
          <w:rFonts w:ascii="Verdana" w:eastAsia="Calibri" w:hAnsi="Verdana"/>
          <w:sz w:val="20"/>
          <w:szCs w:val="20"/>
          <w:lang w:val="sr-Latn-RS"/>
        </w:rPr>
        <w:tab/>
      </w:r>
    </w:p>
    <w:p w14:paraId="0F20810B" w14:textId="77777777" w:rsidR="00F8350C" w:rsidRPr="00F8350C" w:rsidRDefault="00F8350C" w:rsidP="00F8350C">
      <w:pPr>
        <w:pStyle w:val="ListParagraph"/>
        <w:numPr>
          <w:ilvl w:val="0"/>
          <w:numId w:val="35"/>
        </w:numPr>
        <w:spacing w:after="180"/>
        <w:jc w:val="both"/>
        <w:rPr>
          <w:rFonts w:ascii="Verdana" w:hAnsi="Verdana"/>
          <w:b/>
          <w:sz w:val="20"/>
          <w:szCs w:val="20"/>
        </w:rPr>
      </w:pPr>
      <w:r w:rsidRPr="00F8350C">
        <w:rPr>
          <w:rFonts w:ascii="Verdana" w:hAnsi="Verdana"/>
          <w:b/>
          <w:sz w:val="20"/>
          <w:szCs w:val="20"/>
          <w:lang w:val="sr-Latn-RS"/>
        </w:rPr>
        <w:t>Технички капацитет</w:t>
      </w:r>
    </w:p>
    <w:tbl>
      <w:tblPr>
        <w:tblStyle w:val="TableGrid10"/>
        <w:tblW w:w="0" w:type="auto"/>
        <w:tblInd w:w="1440" w:type="dxa"/>
        <w:tblLook w:val="04A0" w:firstRow="1" w:lastRow="0" w:firstColumn="1" w:lastColumn="0" w:noHBand="0" w:noVBand="1"/>
      </w:tblPr>
      <w:tblGrid>
        <w:gridCol w:w="609"/>
        <w:gridCol w:w="6225"/>
        <w:gridCol w:w="1179"/>
      </w:tblGrid>
      <w:tr w:rsidR="00F8350C" w:rsidRPr="00F8350C" w14:paraId="56C79076" w14:textId="77777777" w:rsidTr="00184CBF">
        <w:tc>
          <w:tcPr>
            <w:tcW w:w="520" w:type="dxa"/>
            <w:shd w:val="clear" w:color="auto" w:fill="70AD47"/>
          </w:tcPr>
          <w:p w14:paraId="6D033545"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р.</w:t>
            </w:r>
            <w:r w:rsidRPr="00F8350C">
              <w:rPr>
                <w:rFonts w:ascii="Verdana" w:hAnsi="Verdana"/>
                <w:sz w:val="20"/>
                <w:szCs w:val="20"/>
                <w:lang w:val="sr-Cyrl-RS"/>
              </w:rPr>
              <w:t>б</w:t>
            </w:r>
            <w:r w:rsidRPr="00F8350C">
              <w:rPr>
                <w:rFonts w:ascii="Verdana" w:hAnsi="Verdana"/>
                <w:sz w:val="20"/>
                <w:szCs w:val="20"/>
                <w:lang w:val="sr-Latn-RS"/>
              </w:rPr>
              <w:t>.</w:t>
            </w:r>
          </w:p>
        </w:tc>
        <w:tc>
          <w:tcPr>
            <w:tcW w:w="6225" w:type="dxa"/>
            <w:shd w:val="clear" w:color="auto" w:fill="70AD47"/>
          </w:tcPr>
          <w:p w14:paraId="2F1F93B3" w14:textId="77777777" w:rsidR="00F8350C" w:rsidRPr="00F8350C" w:rsidRDefault="00F8350C" w:rsidP="00184CBF">
            <w:pPr>
              <w:contextualSpacing/>
              <w:rPr>
                <w:rFonts w:ascii="Verdana" w:hAnsi="Verdana"/>
                <w:sz w:val="20"/>
                <w:szCs w:val="20"/>
                <w:lang w:val="sr-Cyrl-RS"/>
              </w:rPr>
            </w:pPr>
            <w:r w:rsidRPr="00F8350C">
              <w:rPr>
                <w:rFonts w:ascii="Verdana" w:hAnsi="Verdana"/>
                <w:sz w:val="20"/>
                <w:szCs w:val="20"/>
                <w:lang w:val="sr-Cyrl-RS"/>
              </w:rPr>
              <w:t>Опрема</w:t>
            </w:r>
          </w:p>
        </w:tc>
        <w:tc>
          <w:tcPr>
            <w:tcW w:w="1165" w:type="dxa"/>
            <w:shd w:val="clear" w:color="auto" w:fill="70AD47"/>
          </w:tcPr>
          <w:p w14:paraId="697208C6" w14:textId="77777777" w:rsidR="00F8350C" w:rsidRPr="00F8350C" w:rsidRDefault="00F8350C" w:rsidP="00184CBF">
            <w:pPr>
              <w:contextualSpacing/>
              <w:rPr>
                <w:rFonts w:ascii="Verdana" w:hAnsi="Verdana"/>
                <w:sz w:val="20"/>
                <w:szCs w:val="20"/>
                <w:lang w:val="sr-Cyrl-RS"/>
              </w:rPr>
            </w:pPr>
            <w:r w:rsidRPr="00F8350C">
              <w:rPr>
                <w:rFonts w:ascii="Verdana" w:hAnsi="Verdana"/>
                <w:sz w:val="20"/>
                <w:szCs w:val="20"/>
                <w:lang w:val="sr-Cyrl-RS"/>
              </w:rPr>
              <w:t>потребан број</w:t>
            </w:r>
          </w:p>
        </w:tc>
      </w:tr>
      <w:tr w:rsidR="00F8350C" w:rsidRPr="00F8350C" w14:paraId="3A724212" w14:textId="77777777" w:rsidTr="00184CBF">
        <w:tc>
          <w:tcPr>
            <w:tcW w:w="520" w:type="dxa"/>
          </w:tcPr>
          <w:p w14:paraId="40FDD45C"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1.</w:t>
            </w:r>
          </w:p>
        </w:tc>
        <w:tc>
          <w:tcPr>
            <w:tcW w:w="6225" w:type="dxa"/>
          </w:tcPr>
          <w:p w14:paraId="64C8B0ED" w14:textId="77777777" w:rsidR="00F8350C" w:rsidRPr="00F8350C" w:rsidRDefault="00F8350C" w:rsidP="00184CBF">
            <w:pPr>
              <w:rPr>
                <w:rFonts w:ascii="Verdana" w:hAnsi="Verdana"/>
                <w:sz w:val="20"/>
                <w:szCs w:val="20"/>
              </w:rPr>
            </w:pPr>
            <w:r w:rsidRPr="00F8350C">
              <w:rPr>
                <w:rFonts w:ascii="Verdana" w:hAnsi="Verdana"/>
                <w:sz w:val="20"/>
                <w:szCs w:val="20"/>
                <w:lang w:val="sr-Latn-RS"/>
              </w:rPr>
              <w:t>Тримери професионални</w:t>
            </w:r>
          </w:p>
          <w:p w14:paraId="02385655" w14:textId="77777777" w:rsidR="00F8350C" w:rsidRPr="00F8350C" w:rsidRDefault="00F8350C" w:rsidP="00184CBF">
            <w:pPr>
              <w:contextualSpacing/>
              <w:rPr>
                <w:rFonts w:ascii="Verdana" w:hAnsi="Verdana"/>
                <w:sz w:val="20"/>
                <w:szCs w:val="20"/>
                <w:lang w:val="sr-Latn-RS"/>
              </w:rPr>
            </w:pPr>
          </w:p>
        </w:tc>
        <w:tc>
          <w:tcPr>
            <w:tcW w:w="1165" w:type="dxa"/>
          </w:tcPr>
          <w:p w14:paraId="4654B360"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50 ком</w:t>
            </w:r>
          </w:p>
        </w:tc>
      </w:tr>
      <w:tr w:rsidR="00F8350C" w:rsidRPr="00F8350C" w14:paraId="1A598FC4" w14:textId="77777777" w:rsidTr="00184CBF">
        <w:tc>
          <w:tcPr>
            <w:tcW w:w="520" w:type="dxa"/>
          </w:tcPr>
          <w:p w14:paraId="4C5D6F00"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2.</w:t>
            </w:r>
          </w:p>
        </w:tc>
        <w:tc>
          <w:tcPr>
            <w:tcW w:w="6225" w:type="dxa"/>
          </w:tcPr>
          <w:p w14:paraId="37783143" w14:textId="77777777" w:rsidR="00F8350C" w:rsidRPr="00F8350C" w:rsidRDefault="00F8350C" w:rsidP="00184CBF">
            <w:pPr>
              <w:rPr>
                <w:rFonts w:ascii="Verdana" w:hAnsi="Verdana"/>
                <w:sz w:val="20"/>
                <w:szCs w:val="20"/>
              </w:rPr>
            </w:pPr>
            <w:r w:rsidRPr="00F8350C">
              <w:rPr>
                <w:rFonts w:ascii="Verdana" w:hAnsi="Verdana"/>
                <w:sz w:val="20"/>
                <w:szCs w:val="20"/>
                <w:lang w:val="sr-Cyrl-RS"/>
              </w:rPr>
              <w:t>М</w:t>
            </w:r>
            <w:r w:rsidRPr="00F8350C">
              <w:rPr>
                <w:rFonts w:ascii="Verdana" w:hAnsi="Verdana"/>
                <w:sz w:val="20"/>
                <w:szCs w:val="20"/>
                <w:lang w:val="sr-Latn-RS"/>
              </w:rPr>
              <w:t>оторна косачица</w:t>
            </w:r>
          </w:p>
          <w:p w14:paraId="19069E26" w14:textId="77777777" w:rsidR="00F8350C" w:rsidRPr="00F8350C" w:rsidRDefault="00F8350C" w:rsidP="00184CBF">
            <w:pPr>
              <w:contextualSpacing/>
              <w:rPr>
                <w:rFonts w:ascii="Verdana" w:hAnsi="Verdana"/>
                <w:sz w:val="20"/>
                <w:szCs w:val="20"/>
                <w:lang w:val="sr-Latn-RS"/>
              </w:rPr>
            </w:pPr>
          </w:p>
        </w:tc>
        <w:tc>
          <w:tcPr>
            <w:tcW w:w="1165" w:type="dxa"/>
          </w:tcPr>
          <w:p w14:paraId="2DEDE43C"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30 ком</w:t>
            </w:r>
          </w:p>
        </w:tc>
      </w:tr>
      <w:tr w:rsidR="00F8350C" w:rsidRPr="00F8350C" w14:paraId="61E2BF9A" w14:textId="77777777" w:rsidTr="00184CBF">
        <w:tc>
          <w:tcPr>
            <w:tcW w:w="520" w:type="dxa"/>
          </w:tcPr>
          <w:p w14:paraId="78ED0DFE"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3.</w:t>
            </w:r>
          </w:p>
        </w:tc>
        <w:tc>
          <w:tcPr>
            <w:tcW w:w="6225" w:type="dxa"/>
          </w:tcPr>
          <w:p w14:paraId="393EC787" w14:textId="77777777" w:rsidR="00F8350C" w:rsidRPr="00F8350C" w:rsidRDefault="00F8350C" w:rsidP="00184CBF">
            <w:pPr>
              <w:rPr>
                <w:rFonts w:ascii="Verdana" w:hAnsi="Verdana"/>
                <w:sz w:val="20"/>
                <w:szCs w:val="20"/>
              </w:rPr>
            </w:pPr>
            <w:r w:rsidRPr="00F8350C">
              <w:rPr>
                <w:rFonts w:ascii="Verdana" w:hAnsi="Verdana"/>
                <w:sz w:val="20"/>
                <w:szCs w:val="20"/>
                <w:lang w:val="sr-Cyrl-RS"/>
              </w:rPr>
              <w:t xml:space="preserve">Моторни </w:t>
            </w:r>
            <w:r w:rsidRPr="00F8350C">
              <w:rPr>
                <w:rFonts w:ascii="Verdana" w:hAnsi="Verdana"/>
                <w:sz w:val="20"/>
                <w:szCs w:val="20"/>
                <w:lang w:val="sr-Latn-RS"/>
              </w:rPr>
              <w:t>дувачи</w:t>
            </w:r>
          </w:p>
          <w:p w14:paraId="3879626E" w14:textId="77777777" w:rsidR="00F8350C" w:rsidRPr="00F8350C" w:rsidRDefault="00F8350C" w:rsidP="00184CBF">
            <w:pPr>
              <w:contextualSpacing/>
              <w:rPr>
                <w:rFonts w:ascii="Verdana" w:hAnsi="Verdana"/>
                <w:sz w:val="20"/>
                <w:szCs w:val="20"/>
                <w:lang w:val="sr-Latn-RS"/>
              </w:rPr>
            </w:pPr>
          </w:p>
        </w:tc>
        <w:tc>
          <w:tcPr>
            <w:tcW w:w="1165" w:type="dxa"/>
          </w:tcPr>
          <w:p w14:paraId="23C1EE61"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15 ком</w:t>
            </w:r>
          </w:p>
        </w:tc>
      </w:tr>
      <w:tr w:rsidR="00F8350C" w:rsidRPr="00F8350C" w14:paraId="0B90C069" w14:textId="77777777" w:rsidTr="00184CBF">
        <w:tc>
          <w:tcPr>
            <w:tcW w:w="520" w:type="dxa"/>
          </w:tcPr>
          <w:p w14:paraId="52DD51E8"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4.</w:t>
            </w:r>
          </w:p>
        </w:tc>
        <w:tc>
          <w:tcPr>
            <w:tcW w:w="6225" w:type="dxa"/>
          </w:tcPr>
          <w:p w14:paraId="0F9C1EC1" w14:textId="77777777" w:rsidR="00F8350C" w:rsidRPr="00F8350C" w:rsidRDefault="00F8350C" w:rsidP="00184CBF">
            <w:pPr>
              <w:rPr>
                <w:rFonts w:ascii="Verdana" w:hAnsi="Verdana"/>
                <w:sz w:val="20"/>
                <w:szCs w:val="20"/>
              </w:rPr>
            </w:pPr>
            <w:r w:rsidRPr="00F8350C">
              <w:rPr>
                <w:rFonts w:ascii="Verdana" w:hAnsi="Verdana"/>
                <w:sz w:val="20"/>
                <w:szCs w:val="20"/>
                <w:lang w:val="sr-Latn-RS"/>
              </w:rPr>
              <w:t>Моторна тестера</w:t>
            </w:r>
          </w:p>
          <w:p w14:paraId="7354940C" w14:textId="77777777" w:rsidR="00F8350C" w:rsidRPr="00F8350C" w:rsidRDefault="00F8350C" w:rsidP="00184CBF">
            <w:pPr>
              <w:contextualSpacing/>
              <w:rPr>
                <w:rFonts w:ascii="Verdana" w:hAnsi="Verdana"/>
                <w:sz w:val="20"/>
                <w:szCs w:val="20"/>
                <w:lang w:val="sr-Latn-RS"/>
              </w:rPr>
            </w:pPr>
          </w:p>
        </w:tc>
        <w:tc>
          <w:tcPr>
            <w:tcW w:w="1165" w:type="dxa"/>
          </w:tcPr>
          <w:p w14:paraId="0EC08A92"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10 ком</w:t>
            </w:r>
          </w:p>
        </w:tc>
      </w:tr>
      <w:tr w:rsidR="00F8350C" w:rsidRPr="00F8350C" w14:paraId="3ED05CEF" w14:textId="77777777" w:rsidTr="00184CBF">
        <w:tc>
          <w:tcPr>
            <w:tcW w:w="520" w:type="dxa"/>
          </w:tcPr>
          <w:p w14:paraId="4B32268E"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5.</w:t>
            </w:r>
          </w:p>
        </w:tc>
        <w:tc>
          <w:tcPr>
            <w:tcW w:w="6225" w:type="dxa"/>
          </w:tcPr>
          <w:p w14:paraId="5DFDE815" w14:textId="77777777" w:rsidR="00F8350C" w:rsidRPr="00F8350C" w:rsidRDefault="00F8350C" w:rsidP="00184CBF">
            <w:pPr>
              <w:rPr>
                <w:rFonts w:ascii="Verdana" w:hAnsi="Verdana"/>
                <w:sz w:val="20"/>
                <w:szCs w:val="20"/>
              </w:rPr>
            </w:pPr>
            <w:r w:rsidRPr="00F8350C">
              <w:rPr>
                <w:rFonts w:ascii="Verdana" w:hAnsi="Verdana"/>
                <w:sz w:val="20"/>
                <w:szCs w:val="20"/>
                <w:lang w:val="sr-Latn-RS"/>
              </w:rPr>
              <w:t>Телескопска моторна тестера</w:t>
            </w:r>
          </w:p>
          <w:p w14:paraId="70BD46F1" w14:textId="77777777" w:rsidR="00F8350C" w:rsidRPr="00F8350C" w:rsidRDefault="00F8350C" w:rsidP="00184CBF">
            <w:pPr>
              <w:contextualSpacing/>
              <w:rPr>
                <w:rFonts w:ascii="Verdana" w:hAnsi="Verdana"/>
                <w:sz w:val="20"/>
                <w:szCs w:val="20"/>
                <w:lang w:val="sr-Latn-RS"/>
              </w:rPr>
            </w:pPr>
          </w:p>
        </w:tc>
        <w:tc>
          <w:tcPr>
            <w:tcW w:w="1165" w:type="dxa"/>
          </w:tcPr>
          <w:p w14:paraId="2857792C"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01 ком</w:t>
            </w:r>
          </w:p>
        </w:tc>
      </w:tr>
      <w:tr w:rsidR="00F8350C" w:rsidRPr="00F8350C" w14:paraId="317D9AB2" w14:textId="77777777" w:rsidTr="00184CBF">
        <w:tc>
          <w:tcPr>
            <w:tcW w:w="520" w:type="dxa"/>
          </w:tcPr>
          <w:p w14:paraId="5A8A0F65"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6.</w:t>
            </w:r>
          </w:p>
        </w:tc>
        <w:tc>
          <w:tcPr>
            <w:tcW w:w="6225" w:type="dxa"/>
          </w:tcPr>
          <w:p w14:paraId="7D7D75F9" w14:textId="77777777" w:rsidR="00F8350C" w:rsidRPr="00F8350C" w:rsidRDefault="00F8350C" w:rsidP="00184CBF">
            <w:pPr>
              <w:rPr>
                <w:rFonts w:ascii="Verdana" w:hAnsi="Verdana"/>
                <w:sz w:val="20"/>
                <w:szCs w:val="20"/>
              </w:rPr>
            </w:pPr>
            <w:r w:rsidRPr="00F8350C">
              <w:rPr>
                <w:rFonts w:ascii="Verdana" w:hAnsi="Verdana"/>
                <w:sz w:val="20"/>
                <w:szCs w:val="20"/>
                <w:lang w:val="sr-Latn-RS"/>
              </w:rPr>
              <w:t>Мало теретно возило (пикап, тешки трицикл и сл.)</w:t>
            </w:r>
          </w:p>
          <w:p w14:paraId="5123BAF5" w14:textId="77777777" w:rsidR="00F8350C" w:rsidRPr="00F8350C" w:rsidRDefault="00F8350C" w:rsidP="00184CBF">
            <w:pPr>
              <w:contextualSpacing/>
              <w:rPr>
                <w:rFonts w:ascii="Verdana" w:hAnsi="Verdana"/>
                <w:sz w:val="20"/>
                <w:szCs w:val="20"/>
                <w:lang w:val="sr-Latn-RS"/>
              </w:rPr>
            </w:pPr>
          </w:p>
        </w:tc>
        <w:tc>
          <w:tcPr>
            <w:tcW w:w="1165" w:type="dxa"/>
          </w:tcPr>
          <w:p w14:paraId="62C81940"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15 ком</w:t>
            </w:r>
          </w:p>
        </w:tc>
      </w:tr>
      <w:tr w:rsidR="00F8350C" w:rsidRPr="00F8350C" w14:paraId="1D85DB93" w14:textId="77777777" w:rsidTr="00184CBF">
        <w:tc>
          <w:tcPr>
            <w:tcW w:w="520" w:type="dxa"/>
          </w:tcPr>
          <w:p w14:paraId="3AA46E77"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7.</w:t>
            </w:r>
          </w:p>
        </w:tc>
        <w:tc>
          <w:tcPr>
            <w:tcW w:w="6225" w:type="dxa"/>
          </w:tcPr>
          <w:p w14:paraId="512E8FDD" w14:textId="77777777" w:rsidR="00F8350C" w:rsidRPr="00F8350C" w:rsidRDefault="00F8350C" w:rsidP="00184CBF">
            <w:pPr>
              <w:rPr>
                <w:rFonts w:ascii="Verdana" w:hAnsi="Verdana"/>
                <w:sz w:val="20"/>
                <w:szCs w:val="20"/>
              </w:rPr>
            </w:pPr>
            <w:r w:rsidRPr="00F8350C">
              <w:rPr>
                <w:rFonts w:ascii="Verdana" w:hAnsi="Verdana"/>
                <w:sz w:val="20"/>
                <w:szCs w:val="20"/>
                <w:lang w:val="sr-Latn-RS"/>
              </w:rPr>
              <w:t>Теретно возило за превоз радника</w:t>
            </w:r>
          </w:p>
          <w:p w14:paraId="0251F9D0" w14:textId="77777777" w:rsidR="00F8350C" w:rsidRPr="00F8350C" w:rsidRDefault="00F8350C" w:rsidP="00184CBF">
            <w:pPr>
              <w:contextualSpacing/>
              <w:rPr>
                <w:rFonts w:ascii="Verdana" w:hAnsi="Verdana"/>
                <w:sz w:val="20"/>
                <w:szCs w:val="20"/>
                <w:lang w:val="sr-Latn-RS"/>
              </w:rPr>
            </w:pPr>
          </w:p>
        </w:tc>
        <w:tc>
          <w:tcPr>
            <w:tcW w:w="1165" w:type="dxa"/>
          </w:tcPr>
          <w:p w14:paraId="1DE962F4"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05 ком</w:t>
            </w:r>
          </w:p>
        </w:tc>
      </w:tr>
      <w:tr w:rsidR="00F8350C" w:rsidRPr="00F8350C" w14:paraId="6D1A023D" w14:textId="77777777" w:rsidTr="00184CBF">
        <w:tc>
          <w:tcPr>
            <w:tcW w:w="520" w:type="dxa"/>
          </w:tcPr>
          <w:p w14:paraId="334551F9"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8.</w:t>
            </w:r>
          </w:p>
        </w:tc>
        <w:tc>
          <w:tcPr>
            <w:tcW w:w="6225" w:type="dxa"/>
          </w:tcPr>
          <w:p w14:paraId="05668072" w14:textId="77777777" w:rsidR="00F8350C" w:rsidRPr="00F8350C" w:rsidRDefault="00F8350C" w:rsidP="00184CBF">
            <w:pPr>
              <w:rPr>
                <w:rFonts w:ascii="Verdana" w:hAnsi="Verdana"/>
                <w:sz w:val="20"/>
                <w:szCs w:val="20"/>
                <w:lang w:val="sr-Latn-RS"/>
              </w:rPr>
            </w:pPr>
            <w:r w:rsidRPr="00F8350C">
              <w:rPr>
                <w:rFonts w:ascii="Verdana" w:hAnsi="Verdana"/>
                <w:sz w:val="20"/>
                <w:szCs w:val="20"/>
                <w:lang w:val="sr-Latn-RS"/>
              </w:rPr>
              <w:t>Теретно возило носивости 3,5 до 6t</w:t>
            </w:r>
          </w:p>
          <w:p w14:paraId="485A57BA" w14:textId="77777777" w:rsidR="00F8350C" w:rsidRPr="00F8350C" w:rsidRDefault="00F8350C" w:rsidP="00184CBF">
            <w:pPr>
              <w:rPr>
                <w:rFonts w:ascii="Verdana" w:hAnsi="Verdana"/>
                <w:sz w:val="20"/>
                <w:szCs w:val="20"/>
              </w:rPr>
            </w:pPr>
          </w:p>
        </w:tc>
        <w:tc>
          <w:tcPr>
            <w:tcW w:w="1165" w:type="dxa"/>
          </w:tcPr>
          <w:p w14:paraId="4CE44AE5"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01 ком</w:t>
            </w:r>
          </w:p>
        </w:tc>
      </w:tr>
      <w:tr w:rsidR="00F8350C" w:rsidRPr="00F8350C" w14:paraId="308EE34A" w14:textId="77777777" w:rsidTr="00184CBF">
        <w:tc>
          <w:tcPr>
            <w:tcW w:w="520" w:type="dxa"/>
          </w:tcPr>
          <w:p w14:paraId="19D4D034"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9.</w:t>
            </w:r>
          </w:p>
        </w:tc>
        <w:tc>
          <w:tcPr>
            <w:tcW w:w="6225" w:type="dxa"/>
          </w:tcPr>
          <w:p w14:paraId="1444200D" w14:textId="77777777" w:rsidR="00F8350C" w:rsidRPr="00F8350C" w:rsidRDefault="00F8350C" w:rsidP="00184CBF">
            <w:pPr>
              <w:jc w:val="both"/>
              <w:rPr>
                <w:rFonts w:ascii="Verdana" w:hAnsi="Verdana"/>
                <w:sz w:val="20"/>
                <w:szCs w:val="20"/>
                <w:lang w:val="sr-Latn-RS"/>
              </w:rPr>
            </w:pPr>
            <w:r w:rsidRPr="00F8350C">
              <w:rPr>
                <w:rFonts w:ascii="Verdana" w:hAnsi="Verdana"/>
                <w:sz w:val="20"/>
                <w:szCs w:val="20"/>
                <w:lang w:val="sr-Latn-RS"/>
              </w:rPr>
              <w:t>Цистерна</w:t>
            </w:r>
            <w:r w:rsidRPr="00F8350C">
              <w:rPr>
                <w:rFonts w:ascii="Verdana" w:hAnsi="Verdana"/>
                <w:sz w:val="20"/>
                <w:szCs w:val="20"/>
                <w:lang w:val="sr-Cyrl-RS"/>
              </w:rPr>
              <w:t xml:space="preserve"> са опремом за прање улица капацитета најмање 8</w:t>
            </w:r>
            <w:r w:rsidRPr="00F8350C">
              <w:rPr>
                <w:rFonts w:ascii="Verdana" w:hAnsi="Verdana"/>
                <w:sz w:val="20"/>
                <w:szCs w:val="20"/>
                <w:lang w:val="sr-Latn-RS"/>
              </w:rPr>
              <w:t>m3</w:t>
            </w:r>
          </w:p>
          <w:p w14:paraId="148E5F4D" w14:textId="77777777" w:rsidR="00F8350C" w:rsidRPr="00F8350C" w:rsidRDefault="00F8350C" w:rsidP="00184CBF">
            <w:pPr>
              <w:contextualSpacing/>
              <w:rPr>
                <w:rFonts w:ascii="Verdana" w:hAnsi="Verdana"/>
                <w:sz w:val="20"/>
                <w:szCs w:val="20"/>
                <w:lang w:val="sr-Latn-RS"/>
              </w:rPr>
            </w:pPr>
          </w:p>
        </w:tc>
        <w:tc>
          <w:tcPr>
            <w:tcW w:w="1165" w:type="dxa"/>
          </w:tcPr>
          <w:p w14:paraId="34EAD8E0" w14:textId="77777777" w:rsidR="00F8350C" w:rsidRPr="00F8350C" w:rsidRDefault="00D04E50" w:rsidP="00184CBF">
            <w:pPr>
              <w:contextualSpacing/>
              <w:jc w:val="right"/>
              <w:rPr>
                <w:rFonts w:ascii="Verdana" w:hAnsi="Verdana"/>
                <w:sz w:val="20"/>
                <w:szCs w:val="20"/>
                <w:lang w:val="sr-Latn-RS"/>
              </w:rPr>
            </w:pPr>
            <w:r>
              <w:rPr>
                <w:rFonts w:ascii="Verdana" w:hAnsi="Verdana"/>
                <w:sz w:val="20"/>
                <w:szCs w:val="20"/>
                <w:lang w:val="sr-Latn-RS"/>
              </w:rPr>
              <w:t>02</w:t>
            </w:r>
            <w:r w:rsidR="00F8350C" w:rsidRPr="00F8350C">
              <w:rPr>
                <w:rFonts w:ascii="Verdana" w:hAnsi="Verdana"/>
                <w:sz w:val="20"/>
                <w:szCs w:val="20"/>
                <w:lang w:val="sr-Latn-RS"/>
              </w:rPr>
              <w:t xml:space="preserve"> ком</w:t>
            </w:r>
          </w:p>
        </w:tc>
      </w:tr>
      <w:tr w:rsidR="00F8350C" w:rsidRPr="00F8350C" w14:paraId="4BD8A97B" w14:textId="77777777" w:rsidTr="00184CBF">
        <w:tc>
          <w:tcPr>
            <w:tcW w:w="520" w:type="dxa"/>
          </w:tcPr>
          <w:p w14:paraId="74B26685"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10.</w:t>
            </w:r>
          </w:p>
        </w:tc>
        <w:tc>
          <w:tcPr>
            <w:tcW w:w="6225" w:type="dxa"/>
          </w:tcPr>
          <w:p w14:paraId="7B13F7F2" w14:textId="77777777" w:rsidR="00F8350C" w:rsidRPr="00F8350C" w:rsidRDefault="00F8350C" w:rsidP="00184CBF">
            <w:pPr>
              <w:jc w:val="both"/>
              <w:rPr>
                <w:rFonts w:ascii="Verdana" w:hAnsi="Verdana"/>
                <w:sz w:val="20"/>
                <w:szCs w:val="20"/>
                <w:lang w:val="sr-Cyrl-RS"/>
              </w:rPr>
            </w:pPr>
            <w:r w:rsidRPr="00F8350C">
              <w:rPr>
                <w:rFonts w:ascii="Verdana" w:hAnsi="Verdana"/>
                <w:sz w:val="20"/>
                <w:szCs w:val="20"/>
                <w:lang w:val="sr-Cyrl-RS"/>
              </w:rPr>
              <w:t>Радна машина (специјализована комунална радна машина са раоником за снег, расипачем соли или средстава за топљење и косионим уређајима (малчерима)) - Унимог или слично</w:t>
            </w:r>
          </w:p>
          <w:p w14:paraId="481BF407" w14:textId="77777777" w:rsidR="00F8350C" w:rsidRPr="00F8350C" w:rsidRDefault="00F8350C" w:rsidP="00184CBF">
            <w:pPr>
              <w:contextualSpacing/>
              <w:rPr>
                <w:rFonts w:ascii="Verdana" w:hAnsi="Verdana"/>
                <w:sz w:val="20"/>
                <w:szCs w:val="20"/>
                <w:lang w:val="sr-Latn-RS"/>
              </w:rPr>
            </w:pPr>
          </w:p>
        </w:tc>
        <w:tc>
          <w:tcPr>
            <w:tcW w:w="1165" w:type="dxa"/>
          </w:tcPr>
          <w:p w14:paraId="736D86C8"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01 ком</w:t>
            </w:r>
          </w:p>
        </w:tc>
      </w:tr>
      <w:tr w:rsidR="00F8350C" w:rsidRPr="00F8350C" w14:paraId="683CD323" w14:textId="77777777" w:rsidTr="00184CBF">
        <w:tc>
          <w:tcPr>
            <w:tcW w:w="520" w:type="dxa"/>
          </w:tcPr>
          <w:p w14:paraId="51EAB337"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11.</w:t>
            </w:r>
          </w:p>
        </w:tc>
        <w:tc>
          <w:tcPr>
            <w:tcW w:w="6225" w:type="dxa"/>
          </w:tcPr>
          <w:p w14:paraId="33EA3586" w14:textId="77777777" w:rsidR="00F8350C" w:rsidRPr="00F8350C" w:rsidRDefault="00F8350C" w:rsidP="00184CBF">
            <w:pPr>
              <w:rPr>
                <w:rFonts w:ascii="Verdana" w:hAnsi="Verdana"/>
                <w:sz w:val="20"/>
                <w:szCs w:val="20"/>
              </w:rPr>
            </w:pPr>
            <w:r w:rsidRPr="00F8350C">
              <w:rPr>
                <w:rFonts w:ascii="Verdana" w:hAnsi="Verdana"/>
                <w:sz w:val="20"/>
                <w:szCs w:val="20"/>
                <w:lang w:val="sr-Latn-RS"/>
              </w:rPr>
              <w:t>Комбинована грађевинска машина</w:t>
            </w:r>
          </w:p>
          <w:p w14:paraId="3B1428C7" w14:textId="77777777" w:rsidR="00F8350C" w:rsidRPr="00F8350C" w:rsidRDefault="00F8350C" w:rsidP="00184CBF">
            <w:pPr>
              <w:contextualSpacing/>
              <w:rPr>
                <w:rFonts w:ascii="Verdana" w:hAnsi="Verdana"/>
                <w:sz w:val="20"/>
                <w:szCs w:val="20"/>
                <w:lang w:val="sr-Latn-RS"/>
              </w:rPr>
            </w:pPr>
          </w:p>
        </w:tc>
        <w:tc>
          <w:tcPr>
            <w:tcW w:w="1165" w:type="dxa"/>
          </w:tcPr>
          <w:p w14:paraId="0F6D1EA2"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01 ком</w:t>
            </w:r>
          </w:p>
        </w:tc>
      </w:tr>
      <w:tr w:rsidR="00F8350C" w:rsidRPr="00F8350C" w14:paraId="1AF71F74" w14:textId="77777777" w:rsidTr="00184CBF">
        <w:tc>
          <w:tcPr>
            <w:tcW w:w="520" w:type="dxa"/>
          </w:tcPr>
          <w:p w14:paraId="007CDEF4"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12.</w:t>
            </w:r>
          </w:p>
        </w:tc>
        <w:tc>
          <w:tcPr>
            <w:tcW w:w="6225" w:type="dxa"/>
          </w:tcPr>
          <w:p w14:paraId="5181E612" w14:textId="77777777" w:rsidR="00F8350C" w:rsidRPr="00F8350C" w:rsidRDefault="00F8350C" w:rsidP="00184CBF">
            <w:pPr>
              <w:rPr>
                <w:rFonts w:ascii="Verdana" w:hAnsi="Verdana"/>
                <w:sz w:val="20"/>
                <w:szCs w:val="20"/>
              </w:rPr>
            </w:pPr>
            <w:r w:rsidRPr="00F8350C">
              <w:rPr>
                <w:rFonts w:ascii="Verdana" w:hAnsi="Verdana"/>
                <w:sz w:val="20"/>
                <w:szCs w:val="20"/>
                <w:lang w:val="sr-Latn-RS"/>
              </w:rPr>
              <w:t xml:space="preserve">Рото радна машина за чишћење и усисавање са </w:t>
            </w:r>
            <w:r w:rsidRPr="00F8350C">
              <w:rPr>
                <w:rFonts w:ascii="Verdana" w:hAnsi="Verdana"/>
                <w:sz w:val="20"/>
                <w:szCs w:val="20"/>
                <w:lang w:val="sr-Latn-RS"/>
              </w:rPr>
              <w:lastRenderedPageBreak/>
              <w:t>ротационим четкицама</w:t>
            </w:r>
          </w:p>
          <w:p w14:paraId="7F64198D" w14:textId="77777777" w:rsidR="00F8350C" w:rsidRPr="00F8350C" w:rsidRDefault="00F8350C" w:rsidP="00184CBF">
            <w:pPr>
              <w:contextualSpacing/>
              <w:rPr>
                <w:rFonts w:ascii="Verdana" w:hAnsi="Verdana"/>
                <w:sz w:val="20"/>
                <w:szCs w:val="20"/>
                <w:lang w:val="sr-Latn-RS"/>
              </w:rPr>
            </w:pPr>
          </w:p>
        </w:tc>
        <w:tc>
          <w:tcPr>
            <w:tcW w:w="1165" w:type="dxa"/>
          </w:tcPr>
          <w:p w14:paraId="3E3539CC"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lastRenderedPageBreak/>
              <w:t>02 ком</w:t>
            </w:r>
          </w:p>
        </w:tc>
      </w:tr>
      <w:tr w:rsidR="00F8350C" w:rsidRPr="00F8350C" w14:paraId="4084AFD7" w14:textId="77777777" w:rsidTr="00184CBF">
        <w:tc>
          <w:tcPr>
            <w:tcW w:w="520" w:type="dxa"/>
          </w:tcPr>
          <w:p w14:paraId="157E5E8A"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lastRenderedPageBreak/>
              <w:t>13.</w:t>
            </w:r>
          </w:p>
        </w:tc>
        <w:tc>
          <w:tcPr>
            <w:tcW w:w="6225" w:type="dxa"/>
          </w:tcPr>
          <w:p w14:paraId="2BFD8CDB" w14:textId="77777777" w:rsidR="00F8350C" w:rsidRPr="00F8350C" w:rsidRDefault="00F8350C" w:rsidP="00184CBF">
            <w:pPr>
              <w:rPr>
                <w:rFonts w:ascii="Verdana" w:hAnsi="Verdana"/>
                <w:sz w:val="20"/>
                <w:szCs w:val="20"/>
              </w:rPr>
            </w:pPr>
            <w:r w:rsidRPr="00F8350C">
              <w:rPr>
                <w:rFonts w:ascii="Verdana" w:hAnsi="Verdana"/>
                <w:sz w:val="20"/>
                <w:szCs w:val="20"/>
                <w:lang w:val="sr-Latn-RS"/>
              </w:rPr>
              <w:t>Моторна фреза/мотокултиватор</w:t>
            </w:r>
          </w:p>
          <w:p w14:paraId="3911744B" w14:textId="77777777" w:rsidR="00F8350C" w:rsidRPr="00F8350C" w:rsidRDefault="00F8350C" w:rsidP="00184CBF">
            <w:pPr>
              <w:contextualSpacing/>
              <w:rPr>
                <w:rFonts w:ascii="Verdana" w:hAnsi="Verdana"/>
                <w:sz w:val="20"/>
                <w:szCs w:val="20"/>
                <w:lang w:val="sr-Latn-RS"/>
              </w:rPr>
            </w:pPr>
          </w:p>
        </w:tc>
        <w:tc>
          <w:tcPr>
            <w:tcW w:w="1165" w:type="dxa"/>
          </w:tcPr>
          <w:p w14:paraId="6DA726B4"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03 ком</w:t>
            </w:r>
          </w:p>
        </w:tc>
      </w:tr>
      <w:tr w:rsidR="00F8350C" w:rsidRPr="00F8350C" w14:paraId="42CD321F" w14:textId="77777777" w:rsidTr="00184CBF">
        <w:tc>
          <w:tcPr>
            <w:tcW w:w="520" w:type="dxa"/>
          </w:tcPr>
          <w:p w14:paraId="3D5AAD0A"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14.</w:t>
            </w:r>
          </w:p>
        </w:tc>
        <w:tc>
          <w:tcPr>
            <w:tcW w:w="6225" w:type="dxa"/>
          </w:tcPr>
          <w:p w14:paraId="5AAD1B9E" w14:textId="77777777" w:rsidR="00F8350C" w:rsidRPr="00F8350C" w:rsidRDefault="00F8350C" w:rsidP="00184CBF">
            <w:pPr>
              <w:rPr>
                <w:rFonts w:ascii="Verdana" w:hAnsi="Verdana"/>
                <w:sz w:val="20"/>
                <w:szCs w:val="20"/>
              </w:rPr>
            </w:pPr>
            <w:r w:rsidRPr="00F8350C">
              <w:rPr>
                <w:rFonts w:ascii="Verdana" w:hAnsi="Verdana"/>
                <w:sz w:val="20"/>
                <w:szCs w:val="20"/>
                <w:lang w:val="sr-Latn-RS"/>
              </w:rPr>
              <w:t>Трактор</w:t>
            </w:r>
          </w:p>
          <w:p w14:paraId="3E096513" w14:textId="77777777" w:rsidR="00F8350C" w:rsidRPr="00F8350C" w:rsidRDefault="00F8350C" w:rsidP="00184CBF">
            <w:pPr>
              <w:contextualSpacing/>
              <w:rPr>
                <w:rFonts w:ascii="Verdana" w:hAnsi="Verdana"/>
                <w:sz w:val="20"/>
                <w:szCs w:val="20"/>
                <w:lang w:val="sr-Latn-RS"/>
              </w:rPr>
            </w:pPr>
          </w:p>
        </w:tc>
        <w:tc>
          <w:tcPr>
            <w:tcW w:w="1165" w:type="dxa"/>
          </w:tcPr>
          <w:p w14:paraId="09775A3B"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02 ком</w:t>
            </w:r>
          </w:p>
        </w:tc>
      </w:tr>
      <w:tr w:rsidR="00F8350C" w:rsidRPr="00F8350C" w14:paraId="43F0D22F" w14:textId="77777777" w:rsidTr="00184CBF">
        <w:tc>
          <w:tcPr>
            <w:tcW w:w="520" w:type="dxa"/>
          </w:tcPr>
          <w:p w14:paraId="55089AF0" w14:textId="77777777" w:rsidR="00F8350C" w:rsidRPr="00F8350C" w:rsidRDefault="00F8350C" w:rsidP="00184CBF">
            <w:pPr>
              <w:contextualSpacing/>
              <w:rPr>
                <w:rFonts w:ascii="Verdana" w:hAnsi="Verdana"/>
                <w:sz w:val="20"/>
                <w:szCs w:val="20"/>
                <w:lang w:val="sr-Latn-RS"/>
              </w:rPr>
            </w:pPr>
            <w:r w:rsidRPr="00F8350C">
              <w:rPr>
                <w:rFonts w:ascii="Verdana" w:hAnsi="Verdana"/>
                <w:sz w:val="20"/>
                <w:szCs w:val="20"/>
                <w:lang w:val="sr-Latn-RS"/>
              </w:rPr>
              <w:t>15.</w:t>
            </w:r>
          </w:p>
        </w:tc>
        <w:tc>
          <w:tcPr>
            <w:tcW w:w="6225" w:type="dxa"/>
          </w:tcPr>
          <w:p w14:paraId="462CD48F" w14:textId="77777777" w:rsidR="00F8350C" w:rsidRPr="00F8350C" w:rsidRDefault="00F8350C" w:rsidP="00184CBF">
            <w:pPr>
              <w:rPr>
                <w:rFonts w:ascii="Verdana" w:hAnsi="Verdana"/>
                <w:sz w:val="20"/>
                <w:szCs w:val="20"/>
              </w:rPr>
            </w:pPr>
            <w:r w:rsidRPr="00F8350C">
              <w:rPr>
                <w:rFonts w:ascii="Verdana" w:hAnsi="Verdana"/>
                <w:sz w:val="20"/>
                <w:szCs w:val="20"/>
                <w:lang w:val="sr-Latn-RS"/>
              </w:rPr>
              <w:t>Тракторска косачица</w:t>
            </w:r>
          </w:p>
          <w:p w14:paraId="40E356F4" w14:textId="77777777" w:rsidR="00F8350C" w:rsidRPr="00F8350C" w:rsidRDefault="00F8350C" w:rsidP="00184CBF">
            <w:pPr>
              <w:contextualSpacing/>
              <w:rPr>
                <w:rFonts w:ascii="Verdana" w:hAnsi="Verdana"/>
                <w:sz w:val="20"/>
                <w:szCs w:val="20"/>
                <w:lang w:val="sr-Latn-RS"/>
              </w:rPr>
            </w:pPr>
          </w:p>
        </w:tc>
        <w:tc>
          <w:tcPr>
            <w:tcW w:w="1165" w:type="dxa"/>
          </w:tcPr>
          <w:p w14:paraId="6C8BA2C8" w14:textId="77777777" w:rsidR="00F8350C" w:rsidRPr="00F8350C" w:rsidRDefault="00F8350C" w:rsidP="00184CBF">
            <w:pPr>
              <w:contextualSpacing/>
              <w:jc w:val="right"/>
              <w:rPr>
                <w:rFonts w:ascii="Verdana" w:hAnsi="Verdana"/>
                <w:sz w:val="20"/>
                <w:szCs w:val="20"/>
                <w:lang w:val="sr-Latn-RS"/>
              </w:rPr>
            </w:pPr>
            <w:r w:rsidRPr="00F8350C">
              <w:rPr>
                <w:rFonts w:ascii="Verdana" w:hAnsi="Verdana"/>
                <w:sz w:val="20"/>
                <w:szCs w:val="20"/>
                <w:lang w:val="sr-Latn-RS"/>
              </w:rPr>
              <w:t>03 ком</w:t>
            </w:r>
          </w:p>
        </w:tc>
      </w:tr>
      <w:tr w:rsidR="00F8350C" w:rsidRPr="00F8350C" w14:paraId="4D5A0F42" w14:textId="77777777" w:rsidTr="00184CBF">
        <w:tc>
          <w:tcPr>
            <w:tcW w:w="520" w:type="dxa"/>
          </w:tcPr>
          <w:p w14:paraId="08BC34E9" w14:textId="77777777" w:rsidR="00F8350C" w:rsidRPr="00F8350C" w:rsidRDefault="00F8350C" w:rsidP="00184CBF">
            <w:pPr>
              <w:contextualSpacing/>
              <w:rPr>
                <w:rFonts w:ascii="Verdana" w:hAnsi="Verdana"/>
                <w:sz w:val="20"/>
                <w:szCs w:val="20"/>
                <w:lang w:val="sr-Cyrl-RS"/>
              </w:rPr>
            </w:pPr>
            <w:r w:rsidRPr="00F8350C">
              <w:rPr>
                <w:rFonts w:ascii="Verdana" w:hAnsi="Verdana"/>
                <w:sz w:val="20"/>
                <w:szCs w:val="20"/>
                <w:lang w:val="sr-Cyrl-RS"/>
              </w:rPr>
              <w:t>16.</w:t>
            </w:r>
          </w:p>
        </w:tc>
        <w:tc>
          <w:tcPr>
            <w:tcW w:w="6225" w:type="dxa"/>
          </w:tcPr>
          <w:p w14:paraId="37468E56" w14:textId="77777777" w:rsidR="00F8350C" w:rsidRPr="00F8350C" w:rsidRDefault="00F8350C" w:rsidP="00184CBF">
            <w:pPr>
              <w:rPr>
                <w:rFonts w:ascii="Verdana" w:hAnsi="Verdana"/>
                <w:sz w:val="20"/>
                <w:szCs w:val="20"/>
                <w:lang w:val="sr-Cyrl-RS"/>
              </w:rPr>
            </w:pPr>
            <w:r w:rsidRPr="00F8350C">
              <w:rPr>
                <w:rFonts w:ascii="Verdana" w:hAnsi="Verdana"/>
                <w:sz w:val="20"/>
                <w:szCs w:val="20"/>
                <w:lang w:val="sr-Cyrl-RS"/>
              </w:rPr>
              <w:t>Транспортна платформа за рад на висини (минималног дохвата 20 метара)</w:t>
            </w:r>
          </w:p>
          <w:p w14:paraId="28CF3BDB" w14:textId="77777777" w:rsidR="00F8350C" w:rsidRPr="00F8350C" w:rsidRDefault="00F8350C" w:rsidP="00184CBF">
            <w:pPr>
              <w:rPr>
                <w:rFonts w:ascii="Verdana" w:hAnsi="Verdana"/>
                <w:sz w:val="20"/>
                <w:szCs w:val="20"/>
                <w:lang w:val="sr-Cyrl-RS"/>
              </w:rPr>
            </w:pPr>
          </w:p>
        </w:tc>
        <w:tc>
          <w:tcPr>
            <w:tcW w:w="1165" w:type="dxa"/>
          </w:tcPr>
          <w:p w14:paraId="31380665" w14:textId="77777777" w:rsidR="00F8350C" w:rsidRPr="00F8350C" w:rsidRDefault="00F8350C" w:rsidP="00184CBF">
            <w:pPr>
              <w:contextualSpacing/>
              <w:jc w:val="right"/>
              <w:rPr>
                <w:rFonts w:ascii="Verdana" w:hAnsi="Verdana"/>
                <w:sz w:val="20"/>
                <w:szCs w:val="20"/>
                <w:lang w:val="sr-Cyrl-RS"/>
              </w:rPr>
            </w:pPr>
            <w:r w:rsidRPr="00F8350C">
              <w:rPr>
                <w:rFonts w:ascii="Verdana" w:hAnsi="Verdana"/>
                <w:sz w:val="20"/>
                <w:szCs w:val="20"/>
                <w:lang w:val="sr-Cyrl-RS"/>
              </w:rPr>
              <w:t>01 ком</w:t>
            </w:r>
          </w:p>
        </w:tc>
      </w:tr>
      <w:tr w:rsidR="00F17810" w:rsidRPr="00F8350C" w14:paraId="765B8569" w14:textId="77777777" w:rsidTr="00184CBF">
        <w:tc>
          <w:tcPr>
            <w:tcW w:w="520" w:type="dxa"/>
          </w:tcPr>
          <w:p w14:paraId="13082428" w14:textId="77777777" w:rsidR="00F17810" w:rsidRPr="00F17810" w:rsidRDefault="00F17810" w:rsidP="00184CBF">
            <w:pPr>
              <w:contextualSpacing/>
              <w:rPr>
                <w:rFonts w:ascii="Verdana" w:hAnsi="Verdana"/>
                <w:sz w:val="20"/>
                <w:szCs w:val="20"/>
                <w:lang w:val="sr-Cyrl-RS"/>
              </w:rPr>
            </w:pPr>
            <w:r>
              <w:rPr>
                <w:rFonts w:ascii="Verdana" w:hAnsi="Verdana"/>
                <w:sz w:val="20"/>
                <w:szCs w:val="20"/>
                <w:lang w:val="en-US"/>
              </w:rPr>
              <w:t>17.</w:t>
            </w:r>
          </w:p>
        </w:tc>
        <w:tc>
          <w:tcPr>
            <w:tcW w:w="6225" w:type="dxa"/>
          </w:tcPr>
          <w:p w14:paraId="3A5FC974" w14:textId="77777777" w:rsidR="00F17810" w:rsidRPr="00F8350C" w:rsidRDefault="00F17810" w:rsidP="00F17810">
            <w:pPr>
              <w:rPr>
                <w:rFonts w:ascii="Verdana" w:hAnsi="Verdana"/>
                <w:sz w:val="20"/>
                <w:szCs w:val="20"/>
                <w:lang w:val="sr-Cyrl-RS"/>
              </w:rPr>
            </w:pPr>
            <w:r>
              <w:rPr>
                <w:rFonts w:ascii="Verdana" w:hAnsi="Verdana"/>
                <w:sz w:val="20"/>
                <w:szCs w:val="20"/>
                <w:lang w:val="sr-Cyrl-RS"/>
              </w:rPr>
              <w:t xml:space="preserve">Возило за одношење непрописно паркираних возила - </w:t>
            </w:r>
            <w:r w:rsidRPr="00F17810">
              <w:rPr>
                <w:rFonts w:ascii="Verdana" w:hAnsi="Verdana"/>
                <w:sz w:val="20"/>
                <w:szCs w:val="20"/>
                <w:lang w:val="sr-Cyrl-RS"/>
              </w:rPr>
              <w:t>„Паук“</w:t>
            </w:r>
          </w:p>
        </w:tc>
        <w:tc>
          <w:tcPr>
            <w:tcW w:w="1165" w:type="dxa"/>
          </w:tcPr>
          <w:p w14:paraId="07C04674" w14:textId="77777777" w:rsidR="00F17810" w:rsidRPr="00F8350C" w:rsidRDefault="00F17810" w:rsidP="00184CBF">
            <w:pPr>
              <w:contextualSpacing/>
              <w:jc w:val="right"/>
              <w:rPr>
                <w:rFonts w:ascii="Verdana" w:hAnsi="Verdana"/>
                <w:sz w:val="20"/>
                <w:szCs w:val="20"/>
                <w:lang w:val="sr-Cyrl-RS"/>
              </w:rPr>
            </w:pPr>
            <w:r>
              <w:rPr>
                <w:rFonts w:ascii="Verdana" w:hAnsi="Verdana"/>
                <w:sz w:val="20"/>
                <w:szCs w:val="20"/>
                <w:lang w:val="sr-Cyrl-RS"/>
              </w:rPr>
              <w:t>01 ком</w:t>
            </w:r>
          </w:p>
        </w:tc>
      </w:tr>
    </w:tbl>
    <w:p w14:paraId="301A12F8" w14:textId="77777777" w:rsidR="00631A21" w:rsidRPr="00F02471" w:rsidRDefault="00631A21" w:rsidP="00631A21">
      <w:pPr>
        <w:pStyle w:val="Stext3"/>
        <w:ind w:left="2250"/>
        <w:rPr>
          <w:highlight w:val="yellow"/>
          <w:lang w:val="sr-Latn-CS" w:eastAsia="en-US"/>
        </w:rPr>
      </w:pPr>
    </w:p>
    <w:p w14:paraId="73567774" w14:textId="77777777" w:rsidR="00493E29" w:rsidRDefault="00493E29" w:rsidP="00F97EE8">
      <w:pPr>
        <w:pStyle w:val="Stext3"/>
        <w:rPr>
          <w:lang w:val="sr-Latn-CS"/>
        </w:rPr>
      </w:pPr>
      <w:r w:rsidRPr="00F02471">
        <w:rPr>
          <w:lang w:val="sr-Latn-CS"/>
        </w:rPr>
        <w:t xml:space="preserve">Докази за испуњење додатних, односно квалификационих услова за учешће детаљно су предвиђени у </w:t>
      </w:r>
      <w:r w:rsidRPr="00F02471">
        <w:rPr>
          <w:u w:val="single"/>
          <w:lang w:val="sr-Latn-CS"/>
        </w:rPr>
        <w:t>Додатку 2</w:t>
      </w:r>
      <w:r w:rsidRPr="00F02471">
        <w:rPr>
          <w:lang w:val="sr-Latn-CS"/>
        </w:rPr>
        <w:t xml:space="preserve"> овог Јавног позива.</w:t>
      </w:r>
    </w:p>
    <w:p w14:paraId="5731824B" w14:textId="77777777" w:rsidR="00F17810" w:rsidRPr="00F17810" w:rsidRDefault="00F17810" w:rsidP="00F97EE8">
      <w:pPr>
        <w:pStyle w:val="Stext3"/>
        <w:rPr>
          <w:lang w:val="sr-Cyrl-RS" w:eastAsia="en-US"/>
        </w:rPr>
      </w:pPr>
      <w:r>
        <w:rPr>
          <w:lang w:val="sr-Cyrl-RS"/>
        </w:rPr>
        <w:t>Возило под редним бројем 17. изабрани понуђач је дужан да набави у року од 60 дана од дана закључења уговора о концесији.</w:t>
      </w:r>
    </w:p>
    <w:p w14:paraId="2160597B" w14:textId="77777777" w:rsidR="00493E29" w:rsidRPr="00F02471" w:rsidRDefault="00493E29" w:rsidP="00F97EE8">
      <w:pPr>
        <w:pStyle w:val="Sheading1"/>
        <w:rPr>
          <w:lang w:val="sr-Latn-CS"/>
        </w:rPr>
      </w:pPr>
      <w:r w:rsidRPr="00F02471">
        <w:rPr>
          <w:lang w:val="sr-Latn-CS"/>
        </w:rPr>
        <w:t>Критеријум за избор најповољније понуде</w:t>
      </w:r>
    </w:p>
    <w:p w14:paraId="08557C2F" w14:textId="77777777" w:rsidR="00493E29" w:rsidRPr="00F02471" w:rsidRDefault="00493E29" w:rsidP="00F97EE8">
      <w:pPr>
        <w:pStyle w:val="Stext1"/>
        <w:rPr>
          <w:lang w:val="sr-Latn-CS" w:eastAsia="en-US"/>
        </w:rPr>
      </w:pPr>
      <w:r w:rsidRPr="00F02471">
        <w:rPr>
          <w:lang w:val="sr-Latn-CS" w:eastAsia="en-US"/>
        </w:rPr>
        <w:t>Критеријум за избор најповољније понуде је највиша понуђена Концесиона накнада.</w:t>
      </w:r>
    </w:p>
    <w:p w14:paraId="5289C8E7" w14:textId="77777777" w:rsidR="00493E29" w:rsidRPr="00F02471" w:rsidRDefault="00493E29" w:rsidP="00F97EE8">
      <w:pPr>
        <w:pStyle w:val="Stext1"/>
        <w:rPr>
          <w:lang w:val="sr-Latn-CS" w:eastAsia="en-US"/>
        </w:rPr>
      </w:pPr>
      <w:r w:rsidRPr="00F02471">
        <w:rPr>
          <w:lang w:val="sr-Latn-CS" w:eastAsia="en-US"/>
        </w:rPr>
        <w:t>У својој понуди, понуђач мора исказати Концесиону накнаду</w:t>
      </w:r>
      <w:r w:rsidR="000E2BB3" w:rsidRPr="00F02471">
        <w:rPr>
          <w:lang w:val="sr-Cyrl-RS" w:eastAsia="en-US"/>
        </w:rPr>
        <w:t xml:space="preserve"> најмање у износу од </w:t>
      </w:r>
      <w:r w:rsidR="002F02F3">
        <w:rPr>
          <w:b/>
          <w:lang w:val="sr-Cyrl-CS" w:eastAsia="en-US"/>
        </w:rPr>
        <w:t>500</w:t>
      </w:r>
      <w:r w:rsidR="000E2BB3" w:rsidRPr="00F02471">
        <w:rPr>
          <w:b/>
          <w:lang w:val="sr-Cyrl-CS" w:eastAsia="en-US"/>
        </w:rPr>
        <w:t>.000 РСД</w:t>
      </w:r>
      <w:r w:rsidRPr="00F02471">
        <w:rPr>
          <w:lang w:val="sr-Latn-CS" w:eastAsia="en-US"/>
        </w:rPr>
        <w:t xml:space="preserve"> (односно, </w:t>
      </w:r>
      <w:r w:rsidR="00C91E6D" w:rsidRPr="00F02471">
        <w:rPr>
          <w:lang w:val="sr-Cyrl-RS" w:eastAsia="en-US"/>
        </w:rPr>
        <w:t>Иницијалну</w:t>
      </w:r>
      <w:r w:rsidR="00993DF0" w:rsidRPr="00F02471">
        <w:rPr>
          <w:lang w:val="sr-Cyrl-RS" w:eastAsia="en-US"/>
        </w:rPr>
        <w:t xml:space="preserve"> концесиону</w:t>
      </w:r>
      <w:r w:rsidRPr="00F02471">
        <w:rPr>
          <w:lang w:val="sr-Latn-CS" w:eastAsia="en-US"/>
        </w:rPr>
        <w:t xml:space="preserve"> накнаду и Годишњу</w:t>
      </w:r>
      <w:r w:rsidR="00993DF0" w:rsidRPr="00F02471">
        <w:rPr>
          <w:lang w:val="sr-Cyrl-RS" w:eastAsia="en-US"/>
        </w:rPr>
        <w:t xml:space="preserve"> концесиону</w:t>
      </w:r>
      <w:r w:rsidRPr="00F02471">
        <w:rPr>
          <w:lang w:val="sr-Latn-CS" w:eastAsia="en-US"/>
        </w:rPr>
        <w:t xml:space="preserve"> накнаду), како је предвиђено у наставку:</w:t>
      </w:r>
    </w:p>
    <w:p w14:paraId="0AED17BE" w14:textId="77777777" w:rsidR="00493E29" w:rsidRPr="00F02471" w:rsidRDefault="00493E29" w:rsidP="00F97EE8">
      <w:pPr>
        <w:pStyle w:val="Sheading2"/>
        <w:rPr>
          <w:lang w:val="sr-Latn-CS"/>
        </w:rPr>
      </w:pPr>
      <w:r w:rsidRPr="00F02471">
        <w:rPr>
          <w:lang w:val="sr-Latn-CS"/>
        </w:rPr>
        <w:t xml:space="preserve">Годишња </w:t>
      </w:r>
      <w:r w:rsidR="00993DF0" w:rsidRPr="00F02471">
        <w:rPr>
          <w:lang w:val="sr-Cyrl-RS"/>
        </w:rPr>
        <w:t xml:space="preserve">концесиона </w:t>
      </w:r>
      <w:r w:rsidRPr="00F02471">
        <w:rPr>
          <w:lang w:val="sr-Latn-CS"/>
        </w:rPr>
        <w:t>накнада</w:t>
      </w:r>
    </w:p>
    <w:p w14:paraId="44B494FC" w14:textId="77777777" w:rsidR="00493E29" w:rsidRPr="00F02471" w:rsidRDefault="00493E29" w:rsidP="00F97EE8">
      <w:pPr>
        <w:pStyle w:val="Stext2"/>
        <w:rPr>
          <w:lang w:val="sr-Cyrl-RS" w:eastAsia="en-US"/>
        </w:rPr>
      </w:pPr>
      <w:r w:rsidRPr="00F02471">
        <w:rPr>
          <w:lang w:val="sr-Latn-CS" w:eastAsia="en-US"/>
        </w:rPr>
        <w:t xml:space="preserve">Годишња </w:t>
      </w:r>
      <w:r w:rsidR="00993DF0" w:rsidRPr="00F02471">
        <w:rPr>
          <w:lang w:val="sr-Cyrl-RS" w:eastAsia="en-US"/>
        </w:rPr>
        <w:t xml:space="preserve">концесиона </w:t>
      </w:r>
      <w:r w:rsidRPr="00F02471">
        <w:rPr>
          <w:lang w:val="sr-Latn-CS" w:eastAsia="en-US"/>
        </w:rPr>
        <w:t xml:space="preserve">накнада плаћа се </w:t>
      </w:r>
      <w:r w:rsidR="00542831" w:rsidRPr="00F02471">
        <w:rPr>
          <w:lang w:val="sr-Latn-CS" w:eastAsia="en-US"/>
        </w:rPr>
        <w:t xml:space="preserve">годишње </w:t>
      </w:r>
      <w:r w:rsidR="00542831" w:rsidRPr="00F02471">
        <w:rPr>
          <w:lang w:val="sr-Cyrl-RS" w:eastAsia="en-US"/>
        </w:rPr>
        <w:t xml:space="preserve">у периоду </w:t>
      </w:r>
      <w:r w:rsidR="00542831" w:rsidRPr="00F02471">
        <w:rPr>
          <w:lang w:val="sr-Cyrl-CS" w:eastAsia="en-US"/>
        </w:rPr>
        <w:t xml:space="preserve">од </w:t>
      </w:r>
      <w:r w:rsidR="002F02F3">
        <w:rPr>
          <w:lang w:val="sr-Cyrl-CS" w:eastAsia="en-US"/>
        </w:rPr>
        <w:t>прве</w:t>
      </w:r>
      <w:r w:rsidR="00542831" w:rsidRPr="00F02471">
        <w:rPr>
          <w:lang w:val="sr-Cyrl-CS" w:eastAsia="en-US"/>
        </w:rPr>
        <w:t xml:space="preserve"> до 15. године </w:t>
      </w:r>
      <w:r w:rsidR="00542831" w:rsidRPr="00F02471">
        <w:rPr>
          <w:lang w:val="sr-Cyrl-RS" w:eastAsia="en-US"/>
        </w:rPr>
        <w:t>концесионог периода</w:t>
      </w:r>
      <w:r w:rsidR="00542831" w:rsidRPr="00F02471">
        <w:rPr>
          <w:lang w:val="sr-Cyrl-CS" w:eastAsia="en-US"/>
        </w:rPr>
        <w:t xml:space="preserve">, </w:t>
      </w:r>
      <w:r w:rsidR="00542831" w:rsidRPr="00F02471">
        <w:rPr>
          <w:lang w:val="sr-Latn-CS" w:eastAsia="en-US"/>
        </w:rPr>
        <w:t xml:space="preserve">а </w:t>
      </w:r>
      <w:r w:rsidR="001325E0" w:rsidRPr="00F02471">
        <w:rPr>
          <w:lang w:val="sr-Latn-CS" w:eastAsia="en-US"/>
        </w:rPr>
        <w:t>која</w:t>
      </w:r>
      <w:r w:rsidR="00542831" w:rsidRPr="00F02471">
        <w:rPr>
          <w:lang w:val="sr-Latn-CS" w:eastAsia="en-US"/>
        </w:rPr>
        <w:t xml:space="preserve"> ће бити индексиран</w:t>
      </w:r>
      <w:r w:rsidR="001325E0" w:rsidRPr="00F02471">
        <w:rPr>
          <w:lang w:val="sr-Cyrl-RS" w:eastAsia="en-US"/>
        </w:rPr>
        <w:t>а</w:t>
      </w:r>
      <w:r w:rsidR="00542831" w:rsidRPr="00F02471">
        <w:rPr>
          <w:lang w:val="sr-Latn-CS" w:eastAsia="en-US"/>
        </w:rPr>
        <w:t xml:space="preserve"> са индексом потрошачких цена</w:t>
      </w:r>
      <w:r w:rsidR="00542831" w:rsidRPr="00F02471">
        <w:rPr>
          <w:lang w:val="sr-Cyrl-RS" w:eastAsia="en-US"/>
        </w:rPr>
        <w:t>.</w:t>
      </w:r>
    </w:p>
    <w:p w14:paraId="5EC473E4" w14:textId="77777777" w:rsidR="00493E29" w:rsidRPr="00F02471" w:rsidRDefault="00493E29" w:rsidP="00F97EE8">
      <w:pPr>
        <w:pStyle w:val="Stext2"/>
        <w:rPr>
          <w:lang w:val="sr-Latn-CS" w:eastAsia="en-US"/>
        </w:rPr>
      </w:pPr>
      <w:r w:rsidRPr="00F02471">
        <w:rPr>
          <w:lang w:val="sr-Latn-CS" w:eastAsia="en-US"/>
        </w:rPr>
        <w:t xml:space="preserve">Годишња </w:t>
      </w:r>
      <w:r w:rsidR="00993DF0" w:rsidRPr="00F02471">
        <w:rPr>
          <w:lang w:val="sr-Cyrl-RS" w:eastAsia="en-US"/>
        </w:rPr>
        <w:t xml:space="preserve">концесиона </w:t>
      </w:r>
      <w:r w:rsidRPr="00F02471">
        <w:rPr>
          <w:lang w:val="sr-Latn-CS" w:eastAsia="en-US"/>
        </w:rPr>
        <w:t>накнада се исказује</w:t>
      </w:r>
      <w:r w:rsidR="001F3F7B" w:rsidRPr="00F02471">
        <w:rPr>
          <w:lang w:val="sr-Cyrl-RS" w:eastAsia="en-US"/>
        </w:rPr>
        <w:t xml:space="preserve"> </w:t>
      </w:r>
      <w:r w:rsidR="008659A2" w:rsidRPr="00F02471">
        <w:rPr>
          <w:lang w:val="sr-Cyrl-RS" w:eastAsia="en-US"/>
        </w:rPr>
        <w:t>и плаћа у ди</w:t>
      </w:r>
      <w:r w:rsidR="001325E0" w:rsidRPr="00F02471">
        <w:rPr>
          <w:lang w:val="sr-Cyrl-RS" w:eastAsia="en-US"/>
        </w:rPr>
        <w:t>нарима</w:t>
      </w:r>
      <w:r w:rsidR="001F3F7B" w:rsidRPr="00F02471">
        <w:rPr>
          <w:lang w:val="sr-Latn-CS" w:eastAsia="en-US"/>
        </w:rPr>
        <w:t>.</w:t>
      </w:r>
    </w:p>
    <w:p w14:paraId="319EE4B2" w14:textId="77777777" w:rsidR="00493E29" w:rsidRPr="00F02471" w:rsidRDefault="00493E29" w:rsidP="00BB5A5F">
      <w:pPr>
        <w:pStyle w:val="Sheading2"/>
        <w:rPr>
          <w:lang w:val="sr-Latn-CS"/>
        </w:rPr>
      </w:pPr>
      <w:r w:rsidRPr="00F02471">
        <w:rPr>
          <w:lang w:val="sr-Latn-CS"/>
        </w:rPr>
        <w:t>Оцењивање Понуда</w:t>
      </w:r>
    </w:p>
    <w:p w14:paraId="37B84599" w14:textId="77777777" w:rsidR="00493E29" w:rsidRPr="00F02471" w:rsidRDefault="00493E29" w:rsidP="00BB5A5F">
      <w:pPr>
        <w:pStyle w:val="Stext2"/>
        <w:rPr>
          <w:lang w:val="sr-Latn-CS"/>
        </w:rPr>
      </w:pPr>
      <w:r w:rsidRPr="00F02471">
        <w:rPr>
          <w:lang w:val="sr-Latn-CS" w:eastAsia="en-US"/>
        </w:rPr>
        <w:t>Сваки Понуђач [</w:t>
      </w:r>
      <w:r w:rsidR="00C5330A" w:rsidRPr="00F02471">
        <w:rPr>
          <w:lang w:val="sr-Latn-CS"/>
        </w:rPr>
        <w:t>i] (i</w:t>
      </w:r>
      <w:r w:rsidRPr="00F02471">
        <w:rPr>
          <w:lang w:val="sr-Latn-CS"/>
        </w:rPr>
        <w:t xml:space="preserve"> = 1 према Н, односно Понуђач 1, Понуђач 2, Понуђач 3 итд.) ће понудити </w:t>
      </w:r>
      <w:r w:rsidR="002F02F3">
        <w:rPr>
          <w:lang w:val="sr-Latn-CS"/>
        </w:rPr>
        <w:t>Концесиону накнаду</w:t>
      </w:r>
      <w:r w:rsidRPr="00F02471">
        <w:rPr>
          <w:lang w:val="sr-Latn-CS"/>
        </w:rPr>
        <w:t xml:space="preserve">, </w:t>
      </w:r>
      <w:r w:rsidR="002F02F3">
        <w:rPr>
          <w:lang w:val="sr-Latn-CS"/>
        </w:rPr>
        <w:t>исказану</w:t>
      </w:r>
      <w:r w:rsidRPr="00F02471">
        <w:rPr>
          <w:lang w:val="sr-Latn-CS"/>
        </w:rPr>
        <w:t xml:space="preserve"> у </w:t>
      </w:r>
      <w:r w:rsidR="001325E0" w:rsidRPr="00F02471">
        <w:rPr>
          <w:lang w:val="sr-Cyrl-RS"/>
        </w:rPr>
        <w:t>динарима</w:t>
      </w:r>
      <w:r w:rsidRPr="00F02471">
        <w:rPr>
          <w:lang w:val="sr-Latn-CS"/>
        </w:rPr>
        <w:t>:</w:t>
      </w:r>
    </w:p>
    <w:p w14:paraId="3352DC9E" w14:textId="77777777" w:rsidR="00493E29" w:rsidRPr="00F02471" w:rsidRDefault="00493E29" w:rsidP="00D0028D">
      <w:pPr>
        <w:pStyle w:val="Stext2"/>
        <w:numPr>
          <w:ilvl w:val="0"/>
          <w:numId w:val="28"/>
        </w:numPr>
        <w:rPr>
          <w:lang w:val="sr-Latn-CS" w:eastAsia="en-US"/>
        </w:rPr>
      </w:pPr>
      <w:r w:rsidRPr="00F02471">
        <w:rPr>
          <w:lang w:val="sr-Latn-CS" w:eastAsia="en-US"/>
        </w:rPr>
        <w:t xml:space="preserve">Годишња </w:t>
      </w:r>
      <w:r w:rsidR="00C5330A" w:rsidRPr="00F02471">
        <w:rPr>
          <w:lang w:val="sr-Cyrl-RS" w:eastAsia="en-US"/>
        </w:rPr>
        <w:t xml:space="preserve">концесиона </w:t>
      </w:r>
      <w:r w:rsidRPr="00F02471">
        <w:rPr>
          <w:lang w:val="sr-Latn-CS" w:eastAsia="en-US"/>
        </w:rPr>
        <w:t>накнада</w:t>
      </w:r>
      <w:r w:rsidR="00C5330A" w:rsidRPr="00F02471">
        <w:rPr>
          <w:lang w:val="sr-Latn-CS" w:eastAsia="en-US"/>
        </w:rPr>
        <w:t xml:space="preserve"> [ГКНi</w:t>
      </w:r>
      <w:r w:rsidRPr="00F02471">
        <w:rPr>
          <w:lang w:val="sr-Latn-CS" w:eastAsia="en-US"/>
        </w:rPr>
        <w:t>].</w:t>
      </w:r>
    </w:p>
    <w:p w14:paraId="0CE671AB" w14:textId="77777777" w:rsidR="00493E29" w:rsidRPr="00F02471" w:rsidRDefault="00493E29" w:rsidP="00BB5A5F">
      <w:pPr>
        <w:pStyle w:val="Stext2"/>
        <w:rPr>
          <w:lang w:val="sr-Latn-CS"/>
        </w:rPr>
      </w:pPr>
      <w:r w:rsidRPr="00F02471">
        <w:rPr>
          <w:lang w:val="sr-Latn-CS" w:eastAsia="en-US"/>
        </w:rPr>
        <w:t>Поени сваког Понуђача [С</w:t>
      </w:r>
      <w:r w:rsidR="00993DF0" w:rsidRPr="00F02471">
        <w:rPr>
          <w:lang w:val="sr-Latn-CS"/>
        </w:rPr>
        <w:t>i</w:t>
      </w:r>
      <w:r w:rsidRPr="00F02471">
        <w:rPr>
          <w:lang w:val="sr-Latn-CS"/>
        </w:rPr>
        <w:t>] ће се рачунати у складу са следећом формулом:</w:t>
      </w:r>
    </w:p>
    <w:p w14:paraId="7FA35F8B" w14:textId="77777777" w:rsidR="00493E29" w:rsidRPr="00F02471" w:rsidRDefault="00C5330A" w:rsidP="00BB5A5F">
      <w:pPr>
        <w:pStyle w:val="Stext2"/>
        <w:jc w:val="center"/>
        <w:rPr>
          <w:i/>
          <w:lang w:val="sr-Latn-CS" w:eastAsia="en-US"/>
        </w:rPr>
      </w:pPr>
      <w:r w:rsidRPr="00F02471">
        <w:rPr>
          <w:i/>
          <w:lang w:val="sr-Latn-CS" w:eastAsia="en-US"/>
        </w:rPr>
        <w:t>С</w:t>
      </w:r>
      <w:r w:rsidR="00993DF0" w:rsidRPr="00F02471">
        <w:rPr>
          <w:i/>
          <w:lang w:val="sr-Latn-CS" w:eastAsia="en-US"/>
        </w:rPr>
        <w:t xml:space="preserve">i </w:t>
      </w:r>
      <w:r w:rsidR="001325E0" w:rsidRPr="00F336F5">
        <w:rPr>
          <w:i/>
          <w:lang w:val="sr-Latn-CS" w:eastAsia="en-US"/>
        </w:rPr>
        <w:t>=</w:t>
      </w:r>
      <w:r w:rsidR="002F02F3" w:rsidRPr="00F336F5">
        <w:rPr>
          <w:i/>
          <w:lang w:val="sr-Cyrl-RS" w:eastAsia="en-US"/>
        </w:rPr>
        <w:t>10</w:t>
      </w:r>
      <w:r w:rsidR="001325E0" w:rsidRPr="00F336F5">
        <w:rPr>
          <w:i/>
          <w:lang w:val="sr-Latn-CS" w:eastAsia="en-US"/>
        </w:rPr>
        <w:t>0%</w:t>
      </w:r>
      <w:r w:rsidR="002F02F3" w:rsidRPr="00F336F5">
        <w:rPr>
          <w:i/>
          <w:lang w:val="sr-Cyrl-RS" w:eastAsia="en-US"/>
        </w:rPr>
        <w:t xml:space="preserve"> х </w:t>
      </w:r>
      <w:r w:rsidRPr="00F336F5">
        <w:rPr>
          <w:i/>
          <w:lang w:val="sr-Latn-CS" w:eastAsia="en-US"/>
        </w:rPr>
        <w:t>ГКНi</w:t>
      </w:r>
      <w:r w:rsidR="00493E29" w:rsidRPr="00F02471">
        <w:rPr>
          <w:i/>
          <w:lang w:val="sr-Latn-CS" w:eastAsia="en-US"/>
        </w:rPr>
        <w:t xml:space="preserve"> </w:t>
      </w:r>
    </w:p>
    <w:p w14:paraId="39956111" w14:textId="77777777" w:rsidR="00493E29" w:rsidRPr="00F02471" w:rsidRDefault="00493E29" w:rsidP="00BB5A5F">
      <w:pPr>
        <w:pStyle w:val="Stext2"/>
        <w:rPr>
          <w:lang w:val="sr-Latn-CS" w:eastAsia="en-US"/>
        </w:rPr>
      </w:pPr>
      <w:r w:rsidRPr="00F02471">
        <w:rPr>
          <w:lang w:val="sr-Latn-CS" w:eastAsia="en-US"/>
        </w:rPr>
        <w:t>Сваки понуђач мора да узме у обзир да ће понуђена</w:t>
      </w:r>
      <w:r w:rsidR="000E2BB3" w:rsidRPr="00F02471">
        <w:rPr>
          <w:lang w:val="sr-Cyrl-RS" w:eastAsia="en-US"/>
        </w:rPr>
        <w:t xml:space="preserve"> </w:t>
      </w:r>
      <w:r w:rsidRPr="00F02471">
        <w:rPr>
          <w:lang w:val="sr-Latn-CS" w:eastAsia="en-US"/>
        </w:rPr>
        <w:t xml:space="preserve">Годишња </w:t>
      </w:r>
      <w:r w:rsidR="00993DF0" w:rsidRPr="00F02471">
        <w:rPr>
          <w:lang w:val="sr-Cyrl-RS" w:eastAsia="en-US"/>
        </w:rPr>
        <w:t xml:space="preserve">концесиона </w:t>
      </w:r>
      <w:r w:rsidRPr="00F02471">
        <w:rPr>
          <w:lang w:val="sr-Latn-CS" w:eastAsia="en-US"/>
        </w:rPr>
        <w:t>накнада постати уговорна обавеза и да ће бити обухваћене уговором о концесији.</w:t>
      </w:r>
    </w:p>
    <w:p w14:paraId="32B98F89" w14:textId="77777777" w:rsidR="00493E29" w:rsidRPr="00F02471" w:rsidRDefault="00493E29" w:rsidP="00BB5A5F">
      <w:pPr>
        <w:pStyle w:val="Stext2"/>
        <w:rPr>
          <w:lang w:val="sr-Latn-CS" w:eastAsia="en-US"/>
        </w:rPr>
      </w:pPr>
      <w:r w:rsidRPr="00F02471">
        <w:rPr>
          <w:lang w:val="sr-Latn-CS" w:eastAsia="en-US"/>
        </w:rPr>
        <w:t xml:space="preserve">Годишња </w:t>
      </w:r>
      <w:r w:rsidR="00993DF0" w:rsidRPr="00F02471">
        <w:rPr>
          <w:lang w:val="sr-Cyrl-RS" w:eastAsia="en-US"/>
        </w:rPr>
        <w:t xml:space="preserve">концесиона </w:t>
      </w:r>
      <w:r w:rsidRPr="00F02471">
        <w:rPr>
          <w:lang w:val="sr-Latn-CS" w:eastAsia="en-US"/>
        </w:rPr>
        <w:t>накнада ће бити индексирана у складу са одредбама уговора о концесији које регулишу индексацију и инфл</w:t>
      </w:r>
      <w:r w:rsidR="001F3F7B" w:rsidRPr="00F02471">
        <w:rPr>
          <w:lang w:val="sr-Latn-CS" w:eastAsia="en-US"/>
        </w:rPr>
        <w:t>ацију</w:t>
      </w:r>
      <w:r w:rsidRPr="00F02471">
        <w:rPr>
          <w:lang w:val="sr-Latn-CS" w:eastAsia="en-US"/>
        </w:rPr>
        <w:t>.</w:t>
      </w:r>
    </w:p>
    <w:p w14:paraId="13C443C1" w14:textId="77777777" w:rsidR="00493E29" w:rsidRPr="00F02471" w:rsidRDefault="00493E29" w:rsidP="00BB5A5F">
      <w:pPr>
        <w:pStyle w:val="Sheading1"/>
        <w:rPr>
          <w:lang w:val="sr-Latn-CS"/>
        </w:rPr>
      </w:pPr>
      <w:r w:rsidRPr="00F02471">
        <w:rPr>
          <w:lang w:val="sr-Latn-CS"/>
        </w:rPr>
        <w:lastRenderedPageBreak/>
        <w:t>Подношење понуда</w:t>
      </w:r>
    </w:p>
    <w:p w14:paraId="6B67F371" w14:textId="5654DB30" w:rsidR="00493E29" w:rsidRPr="00F02471" w:rsidRDefault="00493E29" w:rsidP="00BB5A5F">
      <w:pPr>
        <w:pStyle w:val="Stext1"/>
        <w:rPr>
          <w:lang w:val="sr-Latn-CS" w:eastAsia="en-US"/>
        </w:rPr>
      </w:pPr>
      <w:r w:rsidRPr="00F02471">
        <w:rPr>
          <w:lang w:val="sr-Latn-CS" w:eastAsia="en-US"/>
        </w:rPr>
        <w:t xml:space="preserve">Рок за достављање понуда је </w:t>
      </w:r>
      <w:r w:rsidR="00A8778C">
        <w:rPr>
          <w:lang w:val="sr-Cyrl-RS" w:eastAsia="en-US"/>
        </w:rPr>
        <w:t xml:space="preserve">до задњег, 60ог дана од дана објављивања у </w:t>
      </w:r>
      <w:r w:rsidR="00A8778C">
        <w:rPr>
          <w:lang w:val="sr-Latn-RS" w:eastAsia="en-US"/>
        </w:rPr>
        <w:t>,,</w:t>
      </w:r>
      <w:r w:rsidR="00A8778C">
        <w:rPr>
          <w:lang w:val="sr-Cyrl-RS" w:eastAsia="en-US"/>
        </w:rPr>
        <w:t>Службеном гласнику РС</w:t>
      </w:r>
      <w:r w:rsidR="00A8778C">
        <w:rPr>
          <w:lang w:val="sr-Latn-RS" w:eastAsia="en-US"/>
        </w:rPr>
        <w:t>“</w:t>
      </w:r>
      <w:r w:rsidR="00A8778C">
        <w:rPr>
          <w:lang w:val="sr-Cyrl-RS" w:eastAsia="en-US"/>
        </w:rPr>
        <w:t xml:space="preserve"> до 12</w:t>
      </w:r>
      <w:r w:rsidR="007D0277">
        <w:rPr>
          <w:lang w:val="sr-Cyrl-RS" w:eastAsia="en-US"/>
        </w:rPr>
        <w:t>.</w:t>
      </w:r>
      <w:r w:rsidR="00A8778C">
        <w:rPr>
          <w:lang w:val="sr-Cyrl-RS" w:eastAsia="en-US"/>
        </w:rPr>
        <w:t xml:space="preserve">00 часова </w:t>
      </w:r>
      <w:r w:rsidRPr="00A8778C">
        <w:rPr>
          <w:lang w:val="sr-Latn-CS" w:eastAsia="en-US"/>
        </w:rPr>
        <w:t>("</w:t>
      </w:r>
      <w:r w:rsidRPr="00F02471">
        <w:rPr>
          <w:b/>
          <w:lang w:val="sr-Latn-CS" w:eastAsia="en-US"/>
        </w:rPr>
        <w:t>Рок за подношење понуда</w:t>
      </w:r>
      <w:r w:rsidRPr="00F02471">
        <w:rPr>
          <w:lang w:val="sr-Latn-CS" w:eastAsia="en-US"/>
        </w:rPr>
        <w:t xml:space="preserve">"), у просторијама Града, како је назначено у Одељку </w:t>
      </w:r>
      <w:r w:rsidRPr="00F02471">
        <w:rPr>
          <w:lang w:val="sr-Latn-CS"/>
        </w:rPr>
        <w:t>1</w:t>
      </w:r>
      <w:r w:rsidRPr="00F02471">
        <w:rPr>
          <w:lang w:val="sr-Latn-CS" w:eastAsia="en-US"/>
        </w:rPr>
        <w:t xml:space="preserve"> изнад.</w:t>
      </w:r>
    </w:p>
    <w:p w14:paraId="0DF315F6" w14:textId="77777777" w:rsidR="00493E29" w:rsidRPr="00F02471" w:rsidRDefault="00493E29" w:rsidP="00BB5A5F">
      <w:pPr>
        <w:pStyle w:val="Stext1"/>
        <w:rPr>
          <w:lang w:val="sr-Latn-CS" w:eastAsia="en-US"/>
        </w:rPr>
      </w:pPr>
      <w:r w:rsidRPr="00F02471">
        <w:rPr>
          <w:lang w:val="sr-Latn-CS" w:eastAsia="en-US"/>
        </w:rPr>
        <w:t>Понуде се достављају лично или путем препоручене поште са повратницом, у затвореним ковертама/кутијама како је детаљно објашњено у Конкурсној документацији. Понуде ће се сматрати достављеним након њиховог физичког пријема од стране Града.</w:t>
      </w:r>
    </w:p>
    <w:p w14:paraId="419E4506" w14:textId="77777777" w:rsidR="00493E29" w:rsidRPr="00F02471" w:rsidRDefault="00493E29" w:rsidP="00BB5A5F">
      <w:pPr>
        <w:pStyle w:val="Stext1"/>
        <w:rPr>
          <w:lang w:val="sr-Latn-CS" w:eastAsia="en-US"/>
        </w:rPr>
      </w:pPr>
      <w:r w:rsidRPr="00F02471">
        <w:rPr>
          <w:lang w:val="sr-Latn-CS" w:eastAsia="en-US"/>
        </w:rPr>
        <w:t xml:space="preserve">Понуде морају бити достављене на српском језику. </w:t>
      </w:r>
    </w:p>
    <w:p w14:paraId="6FCADC08" w14:textId="77777777" w:rsidR="00493E29" w:rsidRPr="00F02471" w:rsidRDefault="00493E29" w:rsidP="00BB5A5F">
      <w:pPr>
        <w:pStyle w:val="Stext1"/>
        <w:rPr>
          <w:lang w:val="sr-Latn-CS" w:eastAsia="en-US"/>
        </w:rPr>
      </w:pPr>
      <w:r w:rsidRPr="00F02471">
        <w:rPr>
          <w:lang w:val="sr-Latn-CS" w:eastAsia="en-US"/>
        </w:rPr>
        <w:t>Понуде могу да буду сачињене на латиничном или ћириличном писму.</w:t>
      </w:r>
    </w:p>
    <w:p w14:paraId="54680B7A" w14:textId="77777777" w:rsidR="00493E29" w:rsidRPr="00F02471" w:rsidRDefault="00493E29" w:rsidP="00BB5A5F">
      <w:pPr>
        <w:pStyle w:val="Sheading1"/>
        <w:rPr>
          <w:lang w:val="sr-Latn-CS"/>
        </w:rPr>
      </w:pPr>
      <w:r w:rsidRPr="00F02471">
        <w:rPr>
          <w:lang w:val="sr-Latn-CS"/>
        </w:rPr>
        <w:t xml:space="preserve">Обавештење о исходу Поступка доделе концесије </w:t>
      </w:r>
    </w:p>
    <w:p w14:paraId="368D28CE" w14:textId="6FDF172D" w:rsidR="00493E29" w:rsidRPr="00F02471" w:rsidRDefault="00493E29" w:rsidP="00BB5A5F">
      <w:pPr>
        <w:pStyle w:val="Stext1"/>
        <w:rPr>
          <w:lang w:val="sr-Latn-CS" w:eastAsia="en-US"/>
        </w:rPr>
      </w:pPr>
      <w:r w:rsidRPr="00F02471">
        <w:rPr>
          <w:lang w:val="sr-Latn-CS" w:eastAsia="en-US"/>
        </w:rPr>
        <w:t xml:space="preserve">Исход Поступка доделе концесије ће бити објављен </w:t>
      </w:r>
      <w:r w:rsidR="00E3744B" w:rsidRPr="00F02471">
        <w:rPr>
          <w:lang w:val="sr-Cyrl-RS" w:eastAsia="en-US"/>
        </w:rPr>
        <w:t xml:space="preserve">најкасније </w:t>
      </w:r>
      <w:r w:rsidR="008D06AF">
        <w:rPr>
          <w:lang w:val="sr-Latn-RS" w:eastAsia="en-US"/>
        </w:rPr>
        <w:t>65</w:t>
      </w:r>
      <w:r w:rsidR="007D0277">
        <w:rPr>
          <w:lang w:val="sr-Cyrl-RS" w:eastAsia="en-US"/>
        </w:rPr>
        <w:t xml:space="preserve"> дана од дана доношења одлуке о избору приватног партнера.</w:t>
      </w:r>
      <w:r w:rsidRPr="00F02471">
        <w:rPr>
          <w:lang w:val="sr-Latn-CS"/>
        </w:rPr>
        <w:t xml:space="preserve"> Град ће доставити релевантну одлуку, уз копију записника о отварању и оцени понуда, сваком понуђачу путем емаил-а и без одлагања објавити на својој званичној интернет страници и на Порталу јавних набавки.</w:t>
      </w:r>
    </w:p>
    <w:p w14:paraId="60632660" w14:textId="77777777" w:rsidR="00493E29" w:rsidRPr="00F02471" w:rsidRDefault="00493E29" w:rsidP="00BB5A5F">
      <w:pPr>
        <w:pStyle w:val="Sheading1"/>
        <w:rPr>
          <w:lang w:val="sr-Latn-CS"/>
        </w:rPr>
      </w:pPr>
      <w:r w:rsidRPr="00F02471">
        <w:rPr>
          <w:lang w:val="sr-Latn-CS"/>
        </w:rPr>
        <w:t>Заштита права понуђача</w:t>
      </w:r>
    </w:p>
    <w:p w14:paraId="56C40BE9" w14:textId="77777777" w:rsidR="00493E29" w:rsidRPr="00F02471" w:rsidRDefault="00493E29" w:rsidP="00BB5A5F">
      <w:pPr>
        <w:pStyle w:val="Sheading2"/>
        <w:rPr>
          <w:lang w:val="sr-Latn-CS"/>
        </w:rPr>
      </w:pPr>
      <w:r w:rsidRPr="00F02471">
        <w:rPr>
          <w:lang w:val="sr-Latn-CS"/>
        </w:rPr>
        <w:t>Свако лице заинтересовано за учешће или које учествује у Поступку доделе концесије има право да поднесе захтев за заштиту права у вези са Поступком доделе концесије Републичкој комисији за заштиту права у поступцима јавних набавки ("</w:t>
      </w:r>
      <w:r w:rsidRPr="00F02471">
        <w:rPr>
          <w:b/>
          <w:lang w:val="sr-Latn-CS"/>
        </w:rPr>
        <w:t>Комисија</w:t>
      </w:r>
      <w:r w:rsidRPr="00F02471">
        <w:rPr>
          <w:lang w:val="sr-Latn-CS"/>
        </w:rPr>
        <w:t>").</w:t>
      </w:r>
    </w:p>
    <w:p w14:paraId="3A09DE15" w14:textId="77777777" w:rsidR="00493E29" w:rsidRPr="00F02471" w:rsidRDefault="00493E29" w:rsidP="00BB5A5F">
      <w:pPr>
        <w:pStyle w:val="Sheading2"/>
        <w:rPr>
          <w:lang w:val="sr-Latn-CS"/>
        </w:rPr>
      </w:pPr>
      <w:r w:rsidRPr="00F02471">
        <w:rPr>
          <w:lang w:val="sr-Latn-CS"/>
        </w:rPr>
        <w:t>Захтев за заштиту права се подноси Граду на адресу назначену у Одељку 1 овог Јавног позива, препорученом поштом са повратницом.</w:t>
      </w:r>
    </w:p>
    <w:p w14:paraId="2799AFCF" w14:textId="77777777" w:rsidR="00493E29" w:rsidRPr="00F02471" w:rsidRDefault="00493E29" w:rsidP="00BB5A5F">
      <w:pPr>
        <w:pStyle w:val="Stext1"/>
        <w:rPr>
          <w:lang w:val="sr-Latn-CS"/>
        </w:rPr>
      </w:pPr>
      <w:r w:rsidRPr="00F02471">
        <w:rPr>
          <w:lang w:val="sr-Latn-CS"/>
        </w:rPr>
        <w:t>Копија захтева за заштиту права се истовремено подноси и Комисији на следећу адресу:</w:t>
      </w:r>
    </w:p>
    <w:p w14:paraId="4DFA6C6B" w14:textId="77777777" w:rsidR="00493E29" w:rsidRPr="00F02471" w:rsidRDefault="00493E29" w:rsidP="00BB5A5F">
      <w:pPr>
        <w:pStyle w:val="Stext1"/>
        <w:jc w:val="center"/>
        <w:rPr>
          <w:b/>
          <w:lang w:val="sr-Latn-CS"/>
        </w:rPr>
      </w:pPr>
      <w:r w:rsidRPr="00F02471">
        <w:rPr>
          <w:b/>
          <w:lang w:val="sr-Latn-CS"/>
        </w:rPr>
        <w:t>Немањина 22-26, 11-000 Београд</w:t>
      </w:r>
    </w:p>
    <w:p w14:paraId="1B1E2502" w14:textId="77777777" w:rsidR="00493E29" w:rsidRPr="00F02471" w:rsidRDefault="00493E29" w:rsidP="00BB5A5F">
      <w:pPr>
        <w:pStyle w:val="Sheading2"/>
        <w:rPr>
          <w:lang w:val="sr-Latn-CS"/>
        </w:rPr>
      </w:pPr>
      <w:r w:rsidRPr="00F02471">
        <w:rPr>
          <w:lang w:val="sr-Latn-CS"/>
        </w:rPr>
        <w:lastRenderedPageBreak/>
        <w:t>Захтев за заштиту права може се поднети против било које одлуке Града која се може одвојено побијати, а која је према мишљењу подносиоца донета незаконито.</w:t>
      </w:r>
    </w:p>
    <w:p w14:paraId="6E7E72EC" w14:textId="77777777" w:rsidR="00493E29" w:rsidRDefault="00493E29" w:rsidP="00BB5A5F">
      <w:pPr>
        <w:pStyle w:val="Sheading2"/>
        <w:rPr>
          <w:lang w:val="sr-Latn-CS"/>
        </w:rPr>
      </w:pPr>
      <w:r w:rsidRPr="00F02471">
        <w:rPr>
          <w:lang w:val="sr-Latn-CS"/>
        </w:rPr>
        <w:t>Рокови за подношење захтева за заштиту права су:</w:t>
      </w:r>
    </w:p>
    <w:p w14:paraId="040BC698"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Прецизне информације о року(овима) за заштиту права </w:t>
      </w:r>
    </w:p>
    <w:p w14:paraId="52CE5643"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Захтев за заштиту права може да се поднесе у току целог поступка јавне набавке, осим 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w:t>
      </w:r>
    </w:p>
    <w:p w14:paraId="50D02626"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 </w:t>
      </w:r>
    </w:p>
    <w:p w14:paraId="5C546987"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ЗЈН. </w:t>
      </w:r>
    </w:p>
    <w:p w14:paraId="2D614533"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Након истека рока за подношење захтева за заштиту права,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а које није истакао у поднетом захтеву. </w:t>
      </w:r>
    </w:p>
    <w:p w14:paraId="07A87140"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w:t>
      </w:r>
    </w:p>
    <w:p w14:paraId="640D4ECF"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Предмет оспоравања у поступку заштите права не могу да буду евентуални недостаци или неправилности документације о набавци на које није указано у складу са чланом 97. ЗЈН. </w:t>
      </w:r>
    </w:p>
    <w:p w14:paraId="6D953BA1"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 Подношење захтева за заштиту права задржава наставак поступка јавне набавке од стране наручиоца до окончања поступка заштите права. Захтев за заштиту права мора да садржи податке из члана 217. ЗЈН. </w:t>
      </w:r>
    </w:p>
    <w:p w14:paraId="111D86ED"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 </w:t>
      </w:r>
    </w:p>
    <w:p w14:paraId="34CDFA41"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lastRenderedPageBreak/>
        <w:t xml:space="preserve">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 лицем. </w:t>
      </w:r>
    </w:p>
    <w:p w14:paraId="5D066661"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Приликом подношења захтева за заштиту права наручиоцу подносилац захтева једужан да достави доказ о уплати таксе. Доказ је сваки документ из кога се може да се утврди да је трансакција извршена на одговарајући износ из члана 225. ЗЈН и да се односи на предметни захтев за заштиту права. </w:t>
      </w:r>
    </w:p>
    <w:p w14:paraId="59927E1D" w14:textId="77777777" w:rsidR="00135A50" w:rsidRDefault="00135A50" w:rsidP="00135A50">
      <w:pPr>
        <w:pStyle w:val="Sheading1"/>
        <w:numPr>
          <w:ilvl w:val="0"/>
          <w:numId w:val="0"/>
        </w:numPr>
        <w:ind w:left="680"/>
        <w:rPr>
          <w:b w:val="0"/>
          <w:lang w:val="sr-Latn-CS" w:eastAsia="zh-TW"/>
        </w:rPr>
      </w:pPr>
      <w:r w:rsidRPr="00135A50">
        <w:rPr>
          <w:b w:val="0"/>
          <w:lang w:val="sr-Latn-CS" w:eastAsia="zh-TW"/>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 је на сајту Републичке комисије. </w:t>
      </w:r>
    </w:p>
    <w:p w14:paraId="63FD076F" w14:textId="77777777" w:rsidR="00135A50" w:rsidRPr="00135A50" w:rsidRDefault="00135A50" w:rsidP="00135A50">
      <w:pPr>
        <w:pStyle w:val="Stext2"/>
        <w:rPr>
          <w:lang w:val="sr-Latn-CS" w:eastAsia="en-US"/>
        </w:rPr>
      </w:pPr>
    </w:p>
    <w:p w14:paraId="7D13128D" w14:textId="77777777" w:rsidR="00493E29" w:rsidRPr="00F02471" w:rsidRDefault="00493E29" w:rsidP="00BB5A5F">
      <w:pPr>
        <w:pStyle w:val="Sheading1"/>
        <w:rPr>
          <w:lang w:val="sr-Latn-CS"/>
        </w:rPr>
      </w:pPr>
      <w:r w:rsidRPr="00F02471">
        <w:rPr>
          <w:lang w:val="sr-Latn-CS"/>
        </w:rPr>
        <w:t>Гаранција понуде</w:t>
      </w:r>
    </w:p>
    <w:p w14:paraId="5FBB9445" w14:textId="77777777" w:rsidR="00493E29" w:rsidRPr="00F02471" w:rsidRDefault="00493E29" w:rsidP="00BB5A5F">
      <w:pPr>
        <w:pStyle w:val="Stext1"/>
        <w:rPr>
          <w:lang w:val="sr-Latn-CS"/>
        </w:rPr>
      </w:pPr>
      <w:r w:rsidRPr="00F02471">
        <w:rPr>
          <w:lang w:val="sr-Latn-CS"/>
        </w:rPr>
        <w:t>Сваки од понуђача дужан је да уз понуду достави и гаранцију за</w:t>
      </w:r>
      <w:r w:rsidR="009D12EB" w:rsidRPr="00F02471">
        <w:rPr>
          <w:lang w:val="sr-Latn-CS"/>
        </w:rPr>
        <w:t xml:space="preserve"> озбиљност понуде </w:t>
      </w:r>
      <w:r w:rsidR="009D12EB" w:rsidRPr="00F336F5">
        <w:rPr>
          <w:lang w:val="sr-Latn-CS"/>
        </w:rPr>
        <w:t xml:space="preserve">у </w:t>
      </w:r>
      <w:r w:rsidR="00E95700" w:rsidRPr="00F336F5">
        <w:rPr>
          <w:lang w:val="sr-Cyrl-RS"/>
        </w:rPr>
        <w:t>висини од 5% од укупне понуде</w:t>
      </w:r>
      <w:r w:rsidRPr="00F336F5">
        <w:rPr>
          <w:lang w:val="sr-Latn-CS"/>
        </w:rPr>
        <w:t xml:space="preserve"> ("</w:t>
      </w:r>
      <w:r w:rsidRPr="00F336F5">
        <w:rPr>
          <w:b/>
          <w:lang w:val="sr-Latn-CS"/>
        </w:rPr>
        <w:t>Гаранција понуде</w:t>
      </w:r>
      <w:r w:rsidRPr="00F336F5">
        <w:rPr>
          <w:lang w:val="sr-Latn-CS"/>
        </w:rPr>
        <w:t>")</w:t>
      </w:r>
      <w:r w:rsidRPr="00F02471">
        <w:rPr>
          <w:lang w:val="sr-Latn-CS"/>
        </w:rPr>
        <w:t xml:space="preserve"> у корист Града.</w:t>
      </w:r>
    </w:p>
    <w:p w14:paraId="3A340E62" w14:textId="77777777" w:rsidR="00493E29" w:rsidRPr="00F02471" w:rsidRDefault="00493E29" w:rsidP="00BB5A5F">
      <w:pPr>
        <w:pStyle w:val="Stext1"/>
        <w:rPr>
          <w:lang w:val="sr-Latn-CS" w:eastAsia="en-US"/>
        </w:rPr>
      </w:pPr>
      <w:r w:rsidRPr="00F02471">
        <w:rPr>
          <w:lang w:val="sr-Latn-CS" w:eastAsia="en-US"/>
        </w:rPr>
        <w:t>Форма и садржина Гаранције понуде, као и критеријуми за прихватљивост банке која је издаје биће предвиђени Конкурсном документацијом.</w:t>
      </w:r>
    </w:p>
    <w:p w14:paraId="7A188DFB" w14:textId="77777777" w:rsidR="00493E29" w:rsidRPr="00F02471" w:rsidRDefault="00493E29" w:rsidP="00BB5A5F">
      <w:pPr>
        <w:pStyle w:val="Stext1"/>
        <w:rPr>
          <w:lang w:val="sr-Latn-CS" w:eastAsia="en-US"/>
        </w:rPr>
      </w:pPr>
      <w:r w:rsidRPr="00F02471">
        <w:rPr>
          <w:lang w:val="sr-Latn-CS" w:eastAsia="en-US"/>
        </w:rPr>
        <w:t xml:space="preserve">Рок трајања Гаранције понуде не сме бити краћи од </w:t>
      </w:r>
      <w:r w:rsidR="009D12EB" w:rsidRPr="00F02471">
        <w:rPr>
          <w:lang w:val="sr-Cyrl-RS" w:eastAsia="en-US"/>
        </w:rPr>
        <w:t>шест</w:t>
      </w:r>
      <w:r w:rsidRPr="00F02471">
        <w:rPr>
          <w:lang w:val="sr-Latn-CS" w:eastAsia="en-US"/>
        </w:rPr>
        <w:t xml:space="preserve"> месеци, рачунајући од дана Рока за подношење понуда.</w:t>
      </w:r>
    </w:p>
    <w:p w14:paraId="1B0BC1DC" w14:textId="77777777" w:rsidR="00E3744B" w:rsidRPr="00F02471" w:rsidRDefault="00E3744B" w:rsidP="00BB5A5F">
      <w:pPr>
        <w:pStyle w:val="Stext1"/>
        <w:rPr>
          <w:b/>
          <w:u w:val="single"/>
          <w:lang w:val="sr-Latn-CS" w:eastAsia="en-US"/>
        </w:rPr>
      </w:pPr>
    </w:p>
    <w:p w14:paraId="2D18C926" w14:textId="77777777" w:rsidR="00493E29" w:rsidRPr="00F02471" w:rsidRDefault="00493E29" w:rsidP="00BB5A5F">
      <w:pPr>
        <w:pStyle w:val="Stext1"/>
        <w:rPr>
          <w:b/>
          <w:u w:val="single"/>
          <w:lang w:val="sr-Latn-CS" w:eastAsia="en-US"/>
        </w:rPr>
      </w:pPr>
      <w:r w:rsidRPr="00F02471">
        <w:rPr>
          <w:b/>
          <w:u w:val="single"/>
          <w:lang w:val="sr-Latn-CS" w:eastAsia="en-US"/>
        </w:rPr>
        <w:t>Прилози:</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6803"/>
      </w:tblGrid>
      <w:tr w:rsidR="00493E29" w:rsidRPr="00F02471" w14:paraId="7C395DA8" w14:textId="77777777" w:rsidTr="003818BC">
        <w:tc>
          <w:tcPr>
            <w:tcW w:w="567" w:type="dxa"/>
          </w:tcPr>
          <w:p w14:paraId="2AE9816F" w14:textId="77777777" w:rsidR="00493E29" w:rsidRPr="00F02471" w:rsidRDefault="00493E29" w:rsidP="003818BC">
            <w:pPr>
              <w:pStyle w:val="Stext1"/>
              <w:ind w:left="0"/>
              <w:rPr>
                <w:lang w:val="sr-Latn-CS" w:eastAsia="en-US"/>
              </w:rPr>
            </w:pPr>
            <w:r w:rsidRPr="00F02471">
              <w:rPr>
                <w:lang w:val="sr-Latn-CS" w:eastAsia="en-US"/>
              </w:rPr>
              <w:t>1)</w:t>
            </w:r>
          </w:p>
        </w:tc>
        <w:tc>
          <w:tcPr>
            <w:tcW w:w="1559" w:type="dxa"/>
          </w:tcPr>
          <w:p w14:paraId="5B1755DD" w14:textId="77777777" w:rsidR="00493E29" w:rsidRPr="00F02471" w:rsidRDefault="00493E29" w:rsidP="003818BC">
            <w:pPr>
              <w:pStyle w:val="Stext1"/>
              <w:ind w:left="0"/>
              <w:rPr>
                <w:lang w:val="sr-Latn-CS" w:eastAsia="en-US"/>
              </w:rPr>
            </w:pPr>
            <w:r w:rsidRPr="00F02471">
              <w:rPr>
                <w:lang w:val="sr-Latn-CS" w:eastAsia="en-US"/>
              </w:rPr>
              <w:t>Додатак 1 -</w:t>
            </w:r>
          </w:p>
        </w:tc>
        <w:tc>
          <w:tcPr>
            <w:tcW w:w="6803" w:type="dxa"/>
          </w:tcPr>
          <w:p w14:paraId="2945F79F" w14:textId="77777777" w:rsidR="00493E29" w:rsidRPr="00F02471" w:rsidRDefault="00493E29" w:rsidP="003818BC">
            <w:pPr>
              <w:pStyle w:val="Stext1"/>
              <w:ind w:left="0"/>
              <w:rPr>
                <w:lang w:val="sr-Latn-CS" w:eastAsia="en-US"/>
              </w:rPr>
            </w:pPr>
            <w:r w:rsidRPr="00F02471">
              <w:rPr>
                <w:lang w:val="sr-Latn-CS" w:eastAsia="en-US"/>
              </w:rPr>
              <w:t>Уговор о поверљивости</w:t>
            </w:r>
          </w:p>
        </w:tc>
      </w:tr>
      <w:tr w:rsidR="00493E29" w:rsidRPr="00F02471" w14:paraId="2CCDD68D" w14:textId="77777777" w:rsidTr="003818BC">
        <w:tc>
          <w:tcPr>
            <w:tcW w:w="567" w:type="dxa"/>
          </w:tcPr>
          <w:p w14:paraId="3FCB0080" w14:textId="77777777" w:rsidR="00493E29" w:rsidRPr="00F02471" w:rsidRDefault="00493E29" w:rsidP="003818BC">
            <w:pPr>
              <w:pStyle w:val="Stext1"/>
              <w:ind w:left="0"/>
              <w:rPr>
                <w:lang w:val="sr-Latn-CS" w:eastAsia="en-US"/>
              </w:rPr>
            </w:pPr>
            <w:r w:rsidRPr="00F02471">
              <w:rPr>
                <w:lang w:val="sr-Latn-CS" w:eastAsia="en-US"/>
              </w:rPr>
              <w:t>2)</w:t>
            </w:r>
          </w:p>
        </w:tc>
        <w:tc>
          <w:tcPr>
            <w:tcW w:w="1559" w:type="dxa"/>
          </w:tcPr>
          <w:p w14:paraId="69DEFBC0" w14:textId="77777777" w:rsidR="00493E29" w:rsidRPr="00F02471" w:rsidRDefault="00493E29" w:rsidP="003818BC">
            <w:pPr>
              <w:pStyle w:val="Stext1"/>
              <w:ind w:left="0"/>
              <w:rPr>
                <w:lang w:val="sr-Latn-CS" w:eastAsia="en-US"/>
              </w:rPr>
            </w:pPr>
            <w:r w:rsidRPr="00F02471">
              <w:rPr>
                <w:lang w:val="sr-Latn-CS" w:eastAsia="en-US"/>
              </w:rPr>
              <w:t>Додатак 2 -</w:t>
            </w:r>
          </w:p>
        </w:tc>
        <w:tc>
          <w:tcPr>
            <w:tcW w:w="6803" w:type="dxa"/>
          </w:tcPr>
          <w:p w14:paraId="2A6CD901" w14:textId="77777777" w:rsidR="00493E29" w:rsidRPr="00F02471" w:rsidRDefault="00493E29" w:rsidP="003818BC">
            <w:pPr>
              <w:pStyle w:val="Stext1"/>
              <w:ind w:left="0"/>
              <w:rPr>
                <w:lang w:val="sr-Latn-CS" w:eastAsia="en-US"/>
              </w:rPr>
            </w:pPr>
            <w:r w:rsidRPr="00F02471">
              <w:rPr>
                <w:lang w:val="sr-Latn-CS" w:eastAsia="en-US"/>
              </w:rPr>
              <w:t>Услови за учествовање у Поступку доделе концесије и докази за њихово испуњење</w:t>
            </w:r>
          </w:p>
        </w:tc>
      </w:tr>
    </w:tbl>
    <w:p w14:paraId="6FACBB3B" w14:textId="77777777" w:rsidR="00493E29" w:rsidRPr="00F02471" w:rsidRDefault="00493E29">
      <w:pPr>
        <w:rPr>
          <w:rFonts w:ascii="Verdana" w:hAnsi="Verdana"/>
          <w:lang w:eastAsia="zh-TW"/>
        </w:rPr>
      </w:pPr>
    </w:p>
    <w:sectPr w:rsidR="00493E29" w:rsidRPr="00F02471" w:rsidSect="00413A72">
      <w:headerReference w:type="even" r:id="rId9"/>
      <w:headerReference w:type="default" r:id="rId10"/>
      <w:pgSz w:w="11906" w:h="16838" w:code="9"/>
      <w:pgMar w:top="1985"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D1350" w14:textId="77777777" w:rsidR="00837389" w:rsidRDefault="00837389">
      <w:r>
        <w:separator/>
      </w:r>
    </w:p>
    <w:p w14:paraId="6A2A9EE2" w14:textId="77777777" w:rsidR="00837389" w:rsidRDefault="00837389"/>
    <w:p w14:paraId="001E2523" w14:textId="77777777" w:rsidR="00837389" w:rsidRDefault="00837389"/>
    <w:p w14:paraId="1F836BCF" w14:textId="77777777" w:rsidR="00837389" w:rsidRDefault="00837389"/>
  </w:endnote>
  <w:endnote w:type="continuationSeparator" w:id="0">
    <w:p w14:paraId="14693B29" w14:textId="77777777" w:rsidR="00837389" w:rsidRDefault="00837389">
      <w:r>
        <w:continuationSeparator/>
      </w:r>
    </w:p>
    <w:p w14:paraId="240F620C" w14:textId="77777777" w:rsidR="00837389" w:rsidRDefault="00837389"/>
    <w:p w14:paraId="7D312B24" w14:textId="77777777" w:rsidR="00837389" w:rsidRDefault="00837389"/>
    <w:p w14:paraId="6250FA8A" w14:textId="77777777" w:rsidR="00837389" w:rsidRDefault="00837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535D4" w14:textId="77777777" w:rsidR="00837389" w:rsidRDefault="00837389">
      <w:r>
        <w:separator/>
      </w:r>
    </w:p>
  </w:footnote>
  <w:footnote w:type="continuationSeparator" w:id="0">
    <w:p w14:paraId="33F6533D" w14:textId="77777777" w:rsidR="00837389" w:rsidRDefault="00837389">
      <w:r>
        <w:continuationSeparator/>
      </w:r>
    </w:p>
  </w:footnote>
  <w:footnote w:type="continuationNotice" w:id="1">
    <w:p w14:paraId="46CEAC51" w14:textId="77777777" w:rsidR="00837389" w:rsidRDefault="008373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99FC" w14:textId="77777777" w:rsidR="005B4BDB" w:rsidRDefault="005B4BDB">
    <w:pPr>
      <w:framePr w:wrap="around" w:vAnchor="text" w:hAnchor="margin" w:xAlign="center" w:y="1"/>
    </w:pPr>
    <w:r>
      <w:fldChar w:fldCharType="begin"/>
    </w:r>
    <w:r>
      <w:instrText xml:space="preserve">PAGE  </w:instrText>
    </w:r>
    <w:r>
      <w:fldChar w:fldCharType="separate"/>
    </w:r>
    <w:r w:rsidRPr="00D126E7">
      <w:rPr>
        <w:noProof/>
        <w:lang w:val="en-US"/>
      </w:rPr>
      <w:t>1</w:t>
    </w:r>
    <w:r>
      <w:rPr>
        <w:noProof/>
      </w:rPr>
      <w:fldChar w:fldCharType="end"/>
    </w:r>
  </w:p>
  <w:p w14:paraId="48074EB5" w14:textId="77777777" w:rsidR="005B4BDB" w:rsidRDefault="005B4BDB"/>
  <w:p w14:paraId="5B6360C0" w14:textId="77777777" w:rsidR="005B4BDB" w:rsidRDefault="005B4BDB"/>
  <w:p w14:paraId="0E838E47" w14:textId="77777777" w:rsidR="005B4BDB" w:rsidRDefault="005B4BDB"/>
  <w:p w14:paraId="67F5FC2D" w14:textId="77777777" w:rsidR="005B4BDB" w:rsidRDefault="005B4B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194B" w14:textId="77777777" w:rsidR="005B4BDB" w:rsidRDefault="005B4BDB" w:rsidP="00F22F2B">
    <w:pPr>
      <w:pStyle w:val="Snumberofpages"/>
    </w:pPr>
    <w:r>
      <w:t xml:space="preserve">- </w:t>
    </w:r>
    <w:r>
      <w:fldChar w:fldCharType="begin"/>
    </w:r>
    <w:r>
      <w:instrText xml:space="preserve"> PAGE </w:instrText>
    </w:r>
    <w:r>
      <w:fldChar w:fldCharType="separate"/>
    </w:r>
    <w:r w:rsidR="002A3671">
      <w:rPr>
        <w:noProof/>
      </w:rPr>
      <w:t>11</w:t>
    </w:r>
    <w:r>
      <w:rPr>
        <w:noProof/>
      </w:rPr>
      <w:fldChar w:fldCharType="end"/>
    </w:r>
    <w:r>
      <w:t xml:space="preserve"> -</w:t>
    </w:r>
  </w:p>
  <w:p w14:paraId="5B8A1E4C" w14:textId="77777777" w:rsidR="005B4BDB" w:rsidRDefault="005B4BDB" w:rsidP="00D916C9">
    <w:pPr>
      <w:pStyle w:val="Snumberofpage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nsid w:val="1D3C3D43"/>
    <w:multiLevelType w:val="hybridMultilevel"/>
    <w:tmpl w:val="8800DD3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1EB25917"/>
    <w:multiLevelType w:val="hybridMultilevel"/>
    <w:tmpl w:val="16F28674"/>
    <w:lvl w:ilvl="0" w:tplc="04090011">
      <w:start w:val="1"/>
      <w:numFmt w:val="decimal"/>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nsid w:val="27565490"/>
    <w:multiLevelType w:val="multilevel"/>
    <w:tmpl w:val="C0A05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A06FFB"/>
    <w:multiLevelType w:val="hybridMultilevel"/>
    <w:tmpl w:val="812E55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
    <w:nsid w:val="35734E23"/>
    <w:multiLevelType w:val="hybridMultilevel"/>
    <w:tmpl w:val="CECCFBF2"/>
    <w:lvl w:ilvl="0" w:tplc="FCD2CE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40D859C7"/>
    <w:multiLevelType w:val="hybridMultilevel"/>
    <w:tmpl w:val="D8328116"/>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9">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CEA6846"/>
    <w:multiLevelType w:val="hybridMultilevel"/>
    <w:tmpl w:val="4FE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8B3502"/>
    <w:multiLevelType w:val="hybridMultilevel"/>
    <w:tmpl w:val="902A1C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575627"/>
    <w:multiLevelType w:val="hybridMultilevel"/>
    <w:tmpl w:val="99FCF4A4"/>
    <w:lvl w:ilvl="0" w:tplc="836C3C68">
      <w:start w:val="1"/>
      <w:numFmt w:val="lowerRoman"/>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9">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6"/>
  </w:num>
  <w:num w:numId="3">
    <w:abstractNumId w:val="26"/>
  </w:num>
  <w:num w:numId="4">
    <w:abstractNumId w:val="26"/>
  </w:num>
  <w:num w:numId="5">
    <w:abstractNumId w:val="11"/>
  </w:num>
  <w:num w:numId="6">
    <w:abstractNumId w:val="1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29"/>
  </w:num>
  <w:num w:numId="24">
    <w:abstractNumId w:val="27"/>
  </w:num>
  <w:num w:numId="25">
    <w:abstractNumId w:val="28"/>
  </w:num>
  <w:num w:numId="26">
    <w:abstractNumId w:val="13"/>
  </w:num>
  <w:num w:numId="27">
    <w:abstractNumId w:val="15"/>
  </w:num>
  <w:num w:numId="28">
    <w:abstractNumId w:val="22"/>
  </w:num>
  <w:num w:numId="29">
    <w:abstractNumId w:val="12"/>
  </w:num>
  <w:num w:numId="30">
    <w:abstractNumId w:val="14"/>
  </w:num>
  <w:num w:numId="31">
    <w:abstractNumId w:val="18"/>
  </w:num>
  <w:num w:numId="32">
    <w:abstractNumId w:val="29"/>
  </w:num>
  <w:num w:numId="33">
    <w:abstractNumId w:val="29"/>
  </w:num>
  <w:num w:numId="34">
    <w:abstractNumId w:val="16"/>
  </w:num>
  <w:num w:numId="3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ysDS1NDU0M7C0sDRV0lEKTi0uzszPAykwrgUA4O3HySwAAAA="/>
  </w:docVars>
  <w:rsids>
    <w:rsidRoot w:val="009861AB"/>
    <w:rsid w:val="00003CAD"/>
    <w:rsid w:val="00006498"/>
    <w:rsid w:val="00007A8D"/>
    <w:rsid w:val="00010300"/>
    <w:rsid w:val="00010B25"/>
    <w:rsid w:val="0001178E"/>
    <w:rsid w:val="000117E7"/>
    <w:rsid w:val="0001749C"/>
    <w:rsid w:val="000262AA"/>
    <w:rsid w:val="00027813"/>
    <w:rsid w:val="00032471"/>
    <w:rsid w:val="000348B1"/>
    <w:rsid w:val="00041C17"/>
    <w:rsid w:val="000434DB"/>
    <w:rsid w:val="0004482A"/>
    <w:rsid w:val="000471E9"/>
    <w:rsid w:val="00053069"/>
    <w:rsid w:val="000544F5"/>
    <w:rsid w:val="000553E0"/>
    <w:rsid w:val="00061B51"/>
    <w:rsid w:val="0006207C"/>
    <w:rsid w:val="00062395"/>
    <w:rsid w:val="00063336"/>
    <w:rsid w:val="00063CA4"/>
    <w:rsid w:val="0006798A"/>
    <w:rsid w:val="00071655"/>
    <w:rsid w:val="000778BE"/>
    <w:rsid w:val="000779F3"/>
    <w:rsid w:val="00077E88"/>
    <w:rsid w:val="00085580"/>
    <w:rsid w:val="0008720F"/>
    <w:rsid w:val="00092463"/>
    <w:rsid w:val="00092EC0"/>
    <w:rsid w:val="00093863"/>
    <w:rsid w:val="00094E4A"/>
    <w:rsid w:val="00094EFF"/>
    <w:rsid w:val="000A153D"/>
    <w:rsid w:val="000A4762"/>
    <w:rsid w:val="000A5AE4"/>
    <w:rsid w:val="000A5F24"/>
    <w:rsid w:val="000B21F3"/>
    <w:rsid w:val="000B4D87"/>
    <w:rsid w:val="000B4E7E"/>
    <w:rsid w:val="000C2733"/>
    <w:rsid w:val="000C5280"/>
    <w:rsid w:val="000C545D"/>
    <w:rsid w:val="000C714E"/>
    <w:rsid w:val="000D094B"/>
    <w:rsid w:val="000D2EC8"/>
    <w:rsid w:val="000E00BA"/>
    <w:rsid w:val="000E14DA"/>
    <w:rsid w:val="000E2442"/>
    <w:rsid w:val="000E2BB3"/>
    <w:rsid w:val="000E3553"/>
    <w:rsid w:val="000E4B89"/>
    <w:rsid w:val="000E62A4"/>
    <w:rsid w:val="000F0E13"/>
    <w:rsid w:val="000F5532"/>
    <w:rsid w:val="001013D6"/>
    <w:rsid w:val="001031A8"/>
    <w:rsid w:val="00104BBD"/>
    <w:rsid w:val="00110ABE"/>
    <w:rsid w:val="00110B40"/>
    <w:rsid w:val="0011566F"/>
    <w:rsid w:val="00116249"/>
    <w:rsid w:val="00123765"/>
    <w:rsid w:val="00130ED0"/>
    <w:rsid w:val="0013219A"/>
    <w:rsid w:val="001325E0"/>
    <w:rsid w:val="001336D8"/>
    <w:rsid w:val="00135A50"/>
    <w:rsid w:val="00136EC2"/>
    <w:rsid w:val="001376A4"/>
    <w:rsid w:val="001377AE"/>
    <w:rsid w:val="00140DEC"/>
    <w:rsid w:val="001423A5"/>
    <w:rsid w:val="00153A38"/>
    <w:rsid w:val="0015407C"/>
    <w:rsid w:val="00164ADF"/>
    <w:rsid w:val="001677CB"/>
    <w:rsid w:val="00171D0E"/>
    <w:rsid w:val="0017337A"/>
    <w:rsid w:val="0017391C"/>
    <w:rsid w:val="00174448"/>
    <w:rsid w:val="0017675D"/>
    <w:rsid w:val="00180C6D"/>
    <w:rsid w:val="0018333E"/>
    <w:rsid w:val="00184B81"/>
    <w:rsid w:val="00190066"/>
    <w:rsid w:val="001902C4"/>
    <w:rsid w:val="00191F28"/>
    <w:rsid w:val="001A4527"/>
    <w:rsid w:val="001A6C5D"/>
    <w:rsid w:val="001B0FF7"/>
    <w:rsid w:val="001B6B59"/>
    <w:rsid w:val="001B6CCE"/>
    <w:rsid w:val="001C01FE"/>
    <w:rsid w:val="001C0D68"/>
    <w:rsid w:val="001C26B1"/>
    <w:rsid w:val="001C423D"/>
    <w:rsid w:val="001C67A1"/>
    <w:rsid w:val="001D08B8"/>
    <w:rsid w:val="001D4588"/>
    <w:rsid w:val="001D4E01"/>
    <w:rsid w:val="001D7BA0"/>
    <w:rsid w:val="001E0D3E"/>
    <w:rsid w:val="001E25A1"/>
    <w:rsid w:val="001E29F4"/>
    <w:rsid w:val="001F2A28"/>
    <w:rsid w:val="001F3755"/>
    <w:rsid w:val="001F3B01"/>
    <w:rsid w:val="001F3F7B"/>
    <w:rsid w:val="002007C6"/>
    <w:rsid w:val="0020705B"/>
    <w:rsid w:val="002072CE"/>
    <w:rsid w:val="002114ED"/>
    <w:rsid w:val="00213571"/>
    <w:rsid w:val="00213D53"/>
    <w:rsid w:val="002153E4"/>
    <w:rsid w:val="002245BD"/>
    <w:rsid w:val="00224D14"/>
    <w:rsid w:val="00227999"/>
    <w:rsid w:val="002315D1"/>
    <w:rsid w:val="0023781D"/>
    <w:rsid w:val="00240202"/>
    <w:rsid w:val="0024331D"/>
    <w:rsid w:val="00243904"/>
    <w:rsid w:val="00244856"/>
    <w:rsid w:val="00245DDD"/>
    <w:rsid w:val="00250370"/>
    <w:rsid w:val="002503B7"/>
    <w:rsid w:val="002506A3"/>
    <w:rsid w:val="002507FC"/>
    <w:rsid w:val="00254E76"/>
    <w:rsid w:val="00260696"/>
    <w:rsid w:val="00260CBE"/>
    <w:rsid w:val="00260F42"/>
    <w:rsid w:val="00261E8B"/>
    <w:rsid w:val="002633C1"/>
    <w:rsid w:val="00266072"/>
    <w:rsid w:val="00282FA1"/>
    <w:rsid w:val="002841E2"/>
    <w:rsid w:val="0029052B"/>
    <w:rsid w:val="00294F49"/>
    <w:rsid w:val="002967F3"/>
    <w:rsid w:val="002A3671"/>
    <w:rsid w:val="002A6C50"/>
    <w:rsid w:val="002A7436"/>
    <w:rsid w:val="002B2532"/>
    <w:rsid w:val="002B30C6"/>
    <w:rsid w:val="002B4A24"/>
    <w:rsid w:val="002B4F9B"/>
    <w:rsid w:val="002C2EE5"/>
    <w:rsid w:val="002C3D5F"/>
    <w:rsid w:val="002C43F1"/>
    <w:rsid w:val="002C64D7"/>
    <w:rsid w:val="002D0504"/>
    <w:rsid w:val="002E2941"/>
    <w:rsid w:val="002F02F3"/>
    <w:rsid w:val="002F3B18"/>
    <w:rsid w:val="002F438F"/>
    <w:rsid w:val="002F54E4"/>
    <w:rsid w:val="002F5B92"/>
    <w:rsid w:val="00301CFA"/>
    <w:rsid w:val="00304992"/>
    <w:rsid w:val="00307DD9"/>
    <w:rsid w:val="0031058B"/>
    <w:rsid w:val="00310A4C"/>
    <w:rsid w:val="00312492"/>
    <w:rsid w:val="00313BDF"/>
    <w:rsid w:val="00313E45"/>
    <w:rsid w:val="00313E95"/>
    <w:rsid w:val="00322A2A"/>
    <w:rsid w:val="0032373E"/>
    <w:rsid w:val="003245DC"/>
    <w:rsid w:val="003252F4"/>
    <w:rsid w:val="00340E7F"/>
    <w:rsid w:val="003428A8"/>
    <w:rsid w:val="00344798"/>
    <w:rsid w:val="00345219"/>
    <w:rsid w:val="00347B18"/>
    <w:rsid w:val="00347F4B"/>
    <w:rsid w:val="0035016B"/>
    <w:rsid w:val="00350D85"/>
    <w:rsid w:val="00353027"/>
    <w:rsid w:val="00354B3B"/>
    <w:rsid w:val="00355D22"/>
    <w:rsid w:val="00357F3F"/>
    <w:rsid w:val="00360370"/>
    <w:rsid w:val="003612B8"/>
    <w:rsid w:val="00362434"/>
    <w:rsid w:val="003637C4"/>
    <w:rsid w:val="00367403"/>
    <w:rsid w:val="003744FC"/>
    <w:rsid w:val="0038276A"/>
    <w:rsid w:val="00383ED0"/>
    <w:rsid w:val="003903CA"/>
    <w:rsid w:val="0039606C"/>
    <w:rsid w:val="003A193C"/>
    <w:rsid w:val="003A51A9"/>
    <w:rsid w:val="003A5F8F"/>
    <w:rsid w:val="003A63D1"/>
    <w:rsid w:val="003A6BE0"/>
    <w:rsid w:val="003B3A66"/>
    <w:rsid w:val="003B653F"/>
    <w:rsid w:val="003C2732"/>
    <w:rsid w:val="003C2D5C"/>
    <w:rsid w:val="003C4D6D"/>
    <w:rsid w:val="003C789F"/>
    <w:rsid w:val="003D2C92"/>
    <w:rsid w:val="003D3101"/>
    <w:rsid w:val="003D5B34"/>
    <w:rsid w:val="003E1D90"/>
    <w:rsid w:val="003E2AB8"/>
    <w:rsid w:val="003F1670"/>
    <w:rsid w:val="003F491A"/>
    <w:rsid w:val="0040168A"/>
    <w:rsid w:val="0040266A"/>
    <w:rsid w:val="004032EB"/>
    <w:rsid w:val="00404DBF"/>
    <w:rsid w:val="004079C3"/>
    <w:rsid w:val="00412856"/>
    <w:rsid w:val="004133F6"/>
    <w:rsid w:val="00413A72"/>
    <w:rsid w:val="00415239"/>
    <w:rsid w:val="00417E35"/>
    <w:rsid w:val="0042043C"/>
    <w:rsid w:val="00423B04"/>
    <w:rsid w:val="00423CC0"/>
    <w:rsid w:val="00424236"/>
    <w:rsid w:val="00424FBF"/>
    <w:rsid w:val="00425FD8"/>
    <w:rsid w:val="00434D0F"/>
    <w:rsid w:val="0043595E"/>
    <w:rsid w:val="004365A0"/>
    <w:rsid w:val="00437B3E"/>
    <w:rsid w:val="004434E1"/>
    <w:rsid w:val="004436EC"/>
    <w:rsid w:val="004447B3"/>
    <w:rsid w:val="0044487A"/>
    <w:rsid w:val="00456E10"/>
    <w:rsid w:val="00462010"/>
    <w:rsid w:val="0046273E"/>
    <w:rsid w:val="00463EFF"/>
    <w:rsid w:val="00465222"/>
    <w:rsid w:val="00465784"/>
    <w:rsid w:val="00465A5F"/>
    <w:rsid w:val="004668A0"/>
    <w:rsid w:val="004729EA"/>
    <w:rsid w:val="004743AB"/>
    <w:rsid w:val="00476358"/>
    <w:rsid w:val="00476710"/>
    <w:rsid w:val="0047740F"/>
    <w:rsid w:val="00477909"/>
    <w:rsid w:val="0048206E"/>
    <w:rsid w:val="00482676"/>
    <w:rsid w:val="004860E1"/>
    <w:rsid w:val="00491A41"/>
    <w:rsid w:val="00493E29"/>
    <w:rsid w:val="00494481"/>
    <w:rsid w:val="0049702B"/>
    <w:rsid w:val="00497EF6"/>
    <w:rsid w:val="00497F7D"/>
    <w:rsid w:val="004A67C6"/>
    <w:rsid w:val="004B2F0B"/>
    <w:rsid w:val="004B3733"/>
    <w:rsid w:val="004B375F"/>
    <w:rsid w:val="004B377D"/>
    <w:rsid w:val="004C1BED"/>
    <w:rsid w:val="004C495A"/>
    <w:rsid w:val="004C6C96"/>
    <w:rsid w:val="004D04DD"/>
    <w:rsid w:val="004D0D6A"/>
    <w:rsid w:val="004D17DA"/>
    <w:rsid w:val="004D2F50"/>
    <w:rsid w:val="004D5843"/>
    <w:rsid w:val="004E0D60"/>
    <w:rsid w:val="004E0F72"/>
    <w:rsid w:val="004E3900"/>
    <w:rsid w:val="004E6899"/>
    <w:rsid w:val="004E76D4"/>
    <w:rsid w:val="004F474C"/>
    <w:rsid w:val="004F4C9F"/>
    <w:rsid w:val="0050258F"/>
    <w:rsid w:val="00503284"/>
    <w:rsid w:val="00507CAB"/>
    <w:rsid w:val="0051375E"/>
    <w:rsid w:val="00513809"/>
    <w:rsid w:val="00513BBA"/>
    <w:rsid w:val="005159F9"/>
    <w:rsid w:val="00515BB6"/>
    <w:rsid w:val="005160EC"/>
    <w:rsid w:val="00517267"/>
    <w:rsid w:val="005213A3"/>
    <w:rsid w:val="00522792"/>
    <w:rsid w:val="0052496E"/>
    <w:rsid w:val="00525029"/>
    <w:rsid w:val="00530DD4"/>
    <w:rsid w:val="005319D8"/>
    <w:rsid w:val="005351AB"/>
    <w:rsid w:val="0053540D"/>
    <w:rsid w:val="00535788"/>
    <w:rsid w:val="00536775"/>
    <w:rsid w:val="005425F0"/>
    <w:rsid w:val="00542831"/>
    <w:rsid w:val="0054609C"/>
    <w:rsid w:val="0054638A"/>
    <w:rsid w:val="0054663B"/>
    <w:rsid w:val="005466A1"/>
    <w:rsid w:val="005468F5"/>
    <w:rsid w:val="00550950"/>
    <w:rsid w:val="00553109"/>
    <w:rsid w:val="005538D6"/>
    <w:rsid w:val="005574CC"/>
    <w:rsid w:val="005609D5"/>
    <w:rsid w:val="00564194"/>
    <w:rsid w:val="0057314B"/>
    <w:rsid w:val="00574DE2"/>
    <w:rsid w:val="00580DBD"/>
    <w:rsid w:val="00581F08"/>
    <w:rsid w:val="00582AEB"/>
    <w:rsid w:val="005844F3"/>
    <w:rsid w:val="00584627"/>
    <w:rsid w:val="00586BD8"/>
    <w:rsid w:val="005948AA"/>
    <w:rsid w:val="005A00FD"/>
    <w:rsid w:val="005A0219"/>
    <w:rsid w:val="005A0D21"/>
    <w:rsid w:val="005A1494"/>
    <w:rsid w:val="005A41B7"/>
    <w:rsid w:val="005A6CB6"/>
    <w:rsid w:val="005B2C80"/>
    <w:rsid w:val="005B313C"/>
    <w:rsid w:val="005B4BDB"/>
    <w:rsid w:val="005B6B61"/>
    <w:rsid w:val="005C1475"/>
    <w:rsid w:val="005C25F7"/>
    <w:rsid w:val="005C37D5"/>
    <w:rsid w:val="005C3E76"/>
    <w:rsid w:val="005C50C5"/>
    <w:rsid w:val="005C5300"/>
    <w:rsid w:val="005C6890"/>
    <w:rsid w:val="005C72D6"/>
    <w:rsid w:val="005D0175"/>
    <w:rsid w:val="005D3E67"/>
    <w:rsid w:val="005E34E6"/>
    <w:rsid w:val="005E364A"/>
    <w:rsid w:val="005E6FAF"/>
    <w:rsid w:val="005E7286"/>
    <w:rsid w:val="005F008C"/>
    <w:rsid w:val="005F5108"/>
    <w:rsid w:val="005F5DC8"/>
    <w:rsid w:val="0060121C"/>
    <w:rsid w:val="00602360"/>
    <w:rsid w:val="00602738"/>
    <w:rsid w:val="00614B0F"/>
    <w:rsid w:val="00615201"/>
    <w:rsid w:val="0061600C"/>
    <w:rsid w:val="00626532"/>
    <w:rsid w:val="00626C0A"/>
    <w:rsid w:val="00627F27"/>
    <w:rsid w:val="00631A21"/>
    <w:rsid w:val="0063383A"/>
    <w:rsid w:val="00635DCE"/>
    <w:rsid w:val="00641B76"/>
    <w:rsid w:val="00642175"/>
    <w:rsid w:val="006442B7"/>
    <w:rsid w:val="00646A10"/>
    <w:rsid w:val="0064759F"/>
    <w:rsid w:val="00652B28"/>
    <w:rsid w:val="006578C2"/>
    <w:rsid w:val="006602D1"/>
    <w:rsid w:val="00662ADC"/>
    <w:rsid w:val="00663F28"/>
    <w:rsid w:val="00670B6A"/>
    <w:rsid w:val="0067454E"/>
    <w:rsid w:val="00680DAB"/>
    <w:rsid w:val="00681B08"/>
    <w:rsid w:val="00683B14"/>
    <w:rsid w:val="00685D07"/>
    <w:rsid w:val="006876EA"/>
    <w:rsid w:val="00690B03"/>
    <w:rsid w:val="006933BE"/>
    <w:rsid w:val="00696AC2"/>
    <w:rsid w:val="006A15A8"/>
    <w:rsid w:val="006A51D5"/>
    <w:rsid w:val="006A5842"/>
    <w:rsid w:val="006A58CB"/>
    <w:rsid w:val="006B2935"/>
    <w:rsid w:val="006B3F7C"/>
    <w:rsid w:val="006B43D2"/>
    <w:rsid w:val="006B43E3"/>
    <w:rsid w:val="006C2492"/>
    <w:rsid w:val="006C4F0F"/>
    <w:rsid w:val="006C5841"/>
    <w:rsid w:val="006D0B55"/>
    <w:rsid w:val="006D29B0"/>
    <w:rsid w:val="006D32B7"/>
    <w:rsid w:val="006D470F"/>
    <w:rsid w:val="006D4812"/>
    <w:rsid w:val="006D4857"/>
    <w:rsid w:val="006D4F61"/>
    <w:rsid w:val="006D534C"/>
    <w:rsid w:val="006D7810"/>
    <w:rsid w:val="006D7B19"/>
    <w:rsid w:val="006E28E2"/>
    <w:rsid w:val="006E36A5"/>
    <w:rsid w:val="006F268C"/>
    <w:rsid w:val="006F4E54"/>
    <w:rsid w:val="007012AF"/>
    <w:rsid w:val="00702E01"/>
    <w:rsid w:val="007032C3"/>
    <w:rsid w:val="00705BDB"/>
    <w:rsid w:val="007064A4"/>
    <w:rsid w:val="0071019B"/>
    <w:rsid w:val="0071070E"/>
    <w:rsid w:val="007151B3"/>
    <w:rsid w:val="0072084E"/>
    <w:rsid w:val="00723E02"/>
    <w:rsid w:val="007254B2"/>
    <w:rsid w:val="00726F41"/>
    <w:rsid w:val="00727C4A"/>
    <w:rsid w:val="00737260"/>
    <w:rsid w:val="00740F77"/>
    <w:rsid w:val="00743D09"/>
    <w:rsid w:val="00744454"/>
    <w:rsid w:val="007444DB"/>
    <w:rsid w:val="00747488"/>
    <w:rsid w:val="0075177B"/>
    <w:rsid w:val="00752CDA"/>
    <w:rsid w:val="007655E7"/>
    <w:rsid w:val="00771F14"/>
    <w:rsid w:val="00772024"/>
    <w:rsid w:val="00775A52"/>
    <w:rsid w:val="007830CF"/>
    <w:rsid w:val="00785374"/>
    <w:rsid w:val="00790EE7"/>
    <w:rsid w:val="007910D3"/>
    <w:rsid w:val="0079312D"/>
    <w:rsid w:val="00793CD9"/>
    <w:rsid w:val="00794CE8"/>
    <w:rsid w:val="007A49DD"/>
    <w:rsid w:val="007A64BA"/>
    <w:rsid w:val="007B0681"/>
    <w:rsid w:val="007B4350"/>
    <w:rsid w:val="007B6FFB"/>
    <w:rsid w:val="007C0AA6"/>
    <w:rsid w:val="007C598A"/>
    <w:rsid w:val="007D0188"/>
    <w:rsid w:val="007D0277"/>
    <w:rsid w:val="007D40ED"/>
    <w:rsid w:val="007D5678"/>
    <w:rsid w:val="007D56A2"/>
    <w:rsid w:val="007D7726"/>
    <w:rsid w:val="007E29D4"/>
    <w:rsid w:val="007E677E"/>
    <w:rsid w:val="007F419D"/>
    <w:rsid w:val="00801AC2"/>
    <w:rsid w:val="008031E4"/>
    <w:rsid w:val="00803433"/>
    <w:rsid w:val="008035C5"/>
    <w:rsid w:val="00805354"/>
    <w:rsid w:val="00805AF5"/>
    <w:rsid w:val="0080627E"/>
    <w:rsid w:val="00814ACF"/>
    <w:rsid w:val="00820F63"/>
    <w:rsid w:val="008253A6"/>
    <w:rsid w:val="008328AF"/>
    <w:rsid w:val="00833733"/>
    <w:rsid w:val="0083538A"/>
    <w:rsid w:val="00837389"/>
    <w:rsid w:val="008407A0"/>
    <w:rsid w:val="00845FE7"/>
    <w:rsid w:val="00860062"/>
    <w:rsid w:val="008656C4"/>
    <w:rsid w:val="008659A2"/>
    <w:rsid w:val="0086640C"/>
    <w:rsid w:val="00866CAF"/>
    <w:rsid w:val="0087342C"/>
    <w:rsid w:val="008760D9"/>
    <w:rsid w:val="0087639E"/>
    <w:rsid w:val="00876A4D"/>
    <w:rsid w:val="00877B33"/>
    <w:rsid w:val="00877FB2"/>
    <w:rsid w:val="00880FB6"/>
    <w:rsid w:val="008824DB"/>
    <w:rsid w:val="008A1706"/>
    <w:rsid w:val="008A1B24"/>
    <w:rsid w:val="008A1F21"/>
    <w:rsid w:val="008A435F"/>
    <w:rsid w:val="008A4544"/>
    <w:rsid w:val="008A7762"/>
    <w:rsid w:val="008B03F6"/>
    <w:rsid w:val="008B135E"/>
    <w:rsid w:val="008B1D4D"/>
    <w:rsid w:val="008B254B"/>
    <w:rsid w:val="008B521A"/>
    <w:rsid w:val="008B5528"/>
    <w:rsid w:val="008C480D"/>
    <w:rsid w:val="008C608D"/>
    <w:rsid w:val="008C7E21"/>
    <w:rsid w:val="008D06AF"/>
    <w:rsid w:val="008D34E6"/>
    <w:rsid w:val="008D3AF9"/>
    <w:rsid w:val="008D4183"/>
    <w:rsid w:val="008D7D7C"/>
    <w:rsid w:val="008E189B"/>
    <w:rsid w:val="008E488A"/>
    <w:rsid w:val="009007A3"/>
    <w:rsid w:val="0090351A"/>
    <w:rsid w:val="0090485F"/>
    <w:rsid w:val="00904BB2"/>
    <w:rsid w:val="00913755"/>
    <w:rsid w:val="00915CA0"/>
    <w:rsid w:val="00921B7A"/>
    <w:rsid w:val="0092574E"/>
    <w:rsid w:val="00926F1C"/>
    <w:rsid w:val="0094072C"/>
    <w:rsid w:val="00944663"/>
    <w:rsid w:val="00945B80"/>
    <w:rsid w:val="009460FD"/>
    <w:rsid w:val="00952922"/>
    <w:rsid w:val="00954188"/>
    <w:rsid w:val="009570FC"/>
    <w:rsid w:val="00960507"/>
    <w:rsid w:val="009611B5"/>
    <w:rsid w:val="009618E5"/>
    <w:rsid w:val="00963786"/>
    <w:rsid w:val="00964279"/>
    <w:rsid w:val="00971863"/>
    <w:rsid w:val="0097327B"/>
    <w:rsid w:val="00974118"/>
    <w:rsid w:val="00977CA2"/>
    <w:rsid w:val="009861AB"/>
    <w:rsid w:val="00986309"/>
    <w:rsid w:val="00991788"/>
    <w:rsid w:val="00991D9F"/>
    <w:rsid w:val="00993DF0"/>
    <w:rsid w:val="00997126"/>
    <w:rsid w:val="009974E6"/>
    <w:rsid w:val="00997F63"/>
    <w:rsid w:val="009A5B05"/>
    <w:rsid w:val="009A5E68"/>
    <w:rsid w:val="009B1F6C"/>
    <w:rsid w:val="009B4F74"/>
    <w:rsid w:val="009B67C3"/>
    <w:rsid w:val="009C10F9"/>
    <w:rsid w:val="009C1EB0"/>
    <w:rsid w:val="009C2696"/>
    <w:rsid w:val="009C2A02"/>
    <w:rsid w:val="009C2F09"/>
    <w:rsid w:val="009C3501"/>
    <w:rsid w:val="009D1278"/>
    <w:rsid w:val="009D12EB"/>
    <w:rsid w:val="009D7030"/>
    <w:rsid w:val="009D7F2F"/>
    <w:rsid w:val="009F16B0"/>
    <w:rsid w:val="009F60A0"/>
    <w:rsid w:val="00A0179F"/>
    <w:rsid w:val="00A01D86"/>
    <w:rsid w:val="00A045EF"/>
    <w:rsid w:val="00A05B42"/>
    <w:rsid w:val="00A07EBA"/>
    <w:rsid w:val="00A105E7"/>
    <w:rsid w:val="00A11421"/>
    <w:rsid w:val="00A1197C"/>
    <w:rsid w:val="00A11E5E"/>
    <w:rsid w:val="00A156AB"/>
    <w:rsid w:val="00A242CB"/>
    <w:rsid w:val="00A32187"/>
    <w:rsid w:val="00A3435B"/>
    <w:rsid w:val="00A35B62"/>
    <w:rsid w:val="00A40AE7"/>
    <w:rsid w:val="00A4590A"/>
    <w:rsid w:val="00A46F57"/>
    <w:rsid w:val="00A5269D"/>
    <w:rsid w:val="00A572CF"/>
    <w:rsid w:val="00A62362"/>
    <w:rsid w:val="00A62B14"/>
    <w:rsid w:val="00A64395"/>
    <w:rsid w:val="00A6760D"/>
    <w:rsid w:val="00A70127"/>
    <w:rsid w:val="00A82A20"/>
    <w:rsid w:val="00A83D00"/>
    <w:rsid w:val="00A8527F"/>
    <w:rsid w:val="00A87442"/>
    <w:rsid w:val="00A8778C"/>
    <w:rsid w:val="00A90586"/>
    <w:rsid w:val="00A90610"/>
    <w:rsid w:val="00A90798"/>
    <w:rsid w:val="00A9100A"/>
    <w:rsid w:val="00A975CF"/>
    <w:rsid w:val="00AA06BD"/>
    <w:rsid w:val="00AA13A3"/>
    <w:rsid w:val="00AA6249"/>
    <w:rsid w:val="00AB65FE"/>
    <w:rsid w:val="00AB7313"/>
    <w:rsid w:val="00AC0470"/>
    <w:rsid w:val="00AC0F8E"/>
    <w:rsid w:val="00AC2455"/>
    <w:rsid w:val="00AC3D15"/>
    <w:rsid w:val="00AC64B1"/>
    <w:rsid w:val="00AD04FB"/>
    <w:rsid w:val="00AD09AE"/>
    <w:rsid w:val="00AD359F"/>
    <w:rsid w:val="00AE182E"/>
    <w:rsid w:val="00AE3D97"/>
    <w:rsid w:val="00AE4D77"/>
    <w:rsid w:val="00AE51C1"/>
    <w:rsid w:val="00AE6605"/>
    <w:rsid w:val="00AF0658"/>
    <w:rsid w:val="00AF1B81"/>
    <w:rsid w:val="00AF56FF"/>
    <w:rsid w:val="00AF69E9"/>
    <w:rsid w:val="00B013AC"/>
    <w:rsid w:val="00B0158D"/>
    <w:rsid w:val="00B01977"/>
    <w:rsid w:val="00B12784"/>
    <w:rsid w:val="00B132E5"/>
    <w:rsid w:val="00B14A73"/>
    <w:rsid w:val="00B14F15"/>
    <w:rsid w:val="00B1613C"/>
    <w:rsid w:val="00B26B45"/>
    <w:rsid w:val="00B27347"/>
    <w:rsid w:val="00B27AEF"/>
    <w:rsid w:val="00B31CE6"/>
    <w:rsid w:val="00B3414C"/>
    <w:rsid w:val="00B341E8"/>
    <w:rsid w:val="00B37130"/>
    <w:rsid w:val="00B40D26"/>
    <w:rsid w:val="00B40EDC"/>
    <w:rsid w:val="00B422D0"/>
    <w:rsid w:val="00B46044"/>
    <w:rsid w:val="00B50537"/>
    <w:rsid w:val="00B511EB"/>
    <w:rsid w:val="00B52493"/>
    <w:rsid w:val="00B55DD0"/>
    <w:rsid w:val="00B62058"/>
    <w:rsid w:val="00B6772D"/>
    <w:rsid w:val="00B7051F"/>
    <w:rsid w:val="00B72BF7"/>
    <w:rsid w:val="00B73F09"/>
    <w:rsid w:val="00B8139D"/>
    <w:rsid w:val="00B8258D"/>
    <w:rsid w:val="00B84F56"/>
    <w:rsid w:val="00BA5616"/>
    <w:rsid w:val="00BA7759"/>
    <w:rsid w:val="00BB034E"/>
    <w:rsid w:val="00BB17E6"/>
    <w:rsid w:val="00BB248A"/>
    <w:rsid w:val="00BC0D77"/>
    <w:rsid w:val="00BC1BBA"/>
    <w:rsid w:val="00BC2490"/>
    <w:rsid w:val="00BC2670"/>
    <w:rsid w:val="00BC322E"/>
    <w:rsid w:val="00BC3A1E"/>
    <w:rsid w:val="00BC549A"/>
    <w:rsid w:val="00BC6681"/>
    <w:rsid w:val="00BD11DB"/>
    <w:rsid w:val="00BD144A"/>
    <w:rsid w:val="00BD389C"/>
    <w:rsid w:val="00BD5A05"/>
    <w:rsid w:val="00BD6085"/>
    <w:rsid w:val="00BE1539"/>
    <w:rsid w:val="00BE2B1A"/>
    <w:rsid w:val="00BE36FD"/>
    <w:rsid w:val="00BE625E"/>
    <w:rsid w:val="00BE72C1"/>
    <w:rsid w:val="00BE76E1"/>
    <w:rsid w:val="00BF1972"/>
    <w:rsid w:val="00BF2684"/>
    <w:rsid w:val="00BF3DC5"/>
    <w:rsid w:val="00BF4D82"/>
    <w:rsid w:val="00C05799"/>
    <w:rsid w:val="00C07F91"/>
    <w:rsid w:val="00C15304"/>
    <w:rsid w:val="00C20FEC"/>
    <w:rsid w:val="00C22917"/>
    <w:rsid w:val="00C22984"/>
    <w:rsid w:val="00C230EA"/>
    <w:rsid w:val="00C247D6"/>
    <w:rsid w:val="00C2598B"/>
    <w:rsid w:val="00C278AF"/>
    <w:rsid w:val="00C3066B"/>
    <w:rsid w:val="00C30E86"/>
    <w:rsid w:val="00C411BC"/>
    <w:rsid w:val="00C435DA"/>
    <w:rsid w:val="00C50611"/>
    <w:rsid w:val="00C522A4"/>
    <w:rsid w:val="00C5330A"/>
    <w:rsid w:val="00C536A4"/>
    <w:rsid w:val="00C540B1"/>
    <w:rsid w:val="00C545DB"/>
    <w:rsid w:val="00C566EA"/>
    <w:rsid w:val="00C606D1"/>
    <w:rsid w:val="00C626F1"/>
    <w:rsid w:val="00C6394D"/>
    <w:rsid w:val="00C664FE"/>
    <w:rsid w:val="00C67A35"/>
    <w:rsid w:val="00C710A2"/>
    <w:rsid w:val="00C72D5A"/>
    <w:rsid w:val="00C73A1C"/>
    <w:rsid w:val="00C8628C"/>
    <w:rsid w:val="00C90D87"/>
    <w:rsid w:val="00C912D4"/>
    <w:rsid w:val="00C91E6D"/>
    <w:rsid w:val="00C94421"/>
    <w:rsid w:val="00C95171"/>
    <w:rsid w:val="00C95683"/>
    <w:rsid w:val="00C95EBF"/>
    <w:rsid w:val="00CA323C"/>
    <w:rsid w:val="00CA4253"/>
    <w:rsid w:val="00CB23A1"/>
    <w:rsid w:val="00CB3DD8"/>
    <w:rsid w:val="00CC0640"/>
    <w:rsid w:val="00CC1052"/>
    <w:rsid w:val="00CC1350"/>
    <w:rsid w:val="00CC37DE"/>
    <w:rsid w:val="00CC560D"/>
    <w:rsid w:val="00CC7893"/>
    <w:rsid w:val="00CD2B65"/>
    <w:rsid w:val="00CE1E93"/>
    <w:rsid w:val="00CE26A1"/>
    <w:rsid w:val="00CE3CA5"/>
    <w:rsid w:val="00CE5C55"/>
    <w:rsid w:val="00CF15E8"/>
    <w:rsid w:val="00CF21CF"/>
    <w:rsid w:val="00CF35C4"/>
    <w:rsid w:val="00CF5118"/>
    <w:rsid w:val="00CF6D12"/>
    <w:rsid w:val="00CF7113"/>
    <w:rsid w:val="00D0028D"/>
    <w:rsid w:val="00D03C64"/>
    <w:rsid w:val="00D03EE6"/>
    <w:rsid w:val="00D04E50"/>
    <w:rsid w:val="00D061C7"/>
    <w:rsid w:val="00D12328"/>
    <w:rsid w:val="00D126E3"/>
    <w:rsid w:val="00D126E7"/>
    <w:rsid w:val="00D138EC"/>
    <w:rsid w:val="00D14FA5"/>
    <w:rsid w:val="00D214DA"/>
    <w:rsid w:val="00D21E9D"/>
    <w:rsid w:val="00D22E8A"/>
    <w:rsid w:val="00D2496C"/>
    <w:rsid w:val="00D254ED"/>
    <w:rsid w:val="00D25DB5"/>
    <w:rsid w:val="00D336E1"/>
    <w:rsid w:val="00D34A96"/>
    <w:rsid w:val="00D36F61"/>
    <w:rsid w:val="00D37E58"/>
    <w:rsid w:val="00D4250D"/>
    <w:rsid w:val="00D43B23"/>
    <w:rsid w:val="00D47180"/>
    <w:rsid w:val="00D50436"/>
    <w:rsid w:val="00D50D57"/>
    <w:rsid w:val="00D513C7"/>
    <w:rsid w:val="00D55650"/>
    <w:rsid w:val="00D66BD5"/>
    <w:rsid w:val="00D73E1E"/>
    <w:rsid w:val="00D762E6"/>
    <w:rsid w:val="00D80739"/>
    <w:rsid w:val="00D81076"/>
    <w:rsid w:val="00D81FEE"/>
    <w:rsid w:val="00D85FEB"/>
    <w:rsid w:val="00D87B3F"/>
    <w:rsid w:val="00D916C9"/>
    <w:rsid w:val="00DA2682"/>
    <w:rsid w:val="00DA3233"/>
    <w:rsid w:val="00DA340D"/>
    <w:rsid w:val="00DA4240"/>
    <w:rsid w:val="00DB41C2"/>
    <w:rsid w:val="00DB4F42"/>
    <w:rsid w:val="00DB601D"/>
    <w:rsid w:val="00DC032F"/>
    <w:rsid w:val="00DC23F1"/>
    <w:rsid w:val="00DC2D70"/>
    <w:rsid w:val="00DC47A6"/>
    <w:rsid w:val="00DC5985"/>
    <w:rsid w:val="00DD021C"/>
    <w:rsid w:val="00DD07FF"/>
    <w:rsid w:val="00DD7A14"/>
    <w:rsid w:val="00DE0617"/>
    <w:rsid w:val="00DE14DF"/>
    <w:rsid w:val="00DE4EC9"/>
    <w:rsid w:val="00DE5B90"/>
    <w:rsid w:val="00DE7F88"/>
    <w:rsid w:val="00DF00B4"/>
    <w:rsid w:val="00DF0B4B"/>
    <w:rsid w:val="00DF3314"/>
    <w:rsid w:val="00DF333E"/>
    <w:rsid w:val="00E01D1D"/>
    <w:rsid w:val="00E0507F"/>
    <w:rsid w:val="00E111E8"/>
    <w:rsid w:val="00E11924"/>
    <w:rsid w:val="00E15DDA"/>
    <w:rsid w:val="00E15E6D"/>
    <w:rsid w:val="00E16FD5"/>
    <w:rsid w:val="00E24A40"/>
    <w:rsid w:val="00E25222"/>
    <w:rsid w:val="00E270C3"/>
    <w:rsid w:val="00E2732E"/>
    <w:rsid w:val="00E30B18"/>
    <w:rsid w:val="00E3178F"/>
    <w:rsid w:val="00E34289"/>
    <w:rsid w:val="00E36758"/>
    <w:rsid w:val="00E36A43"/>
    <w:rsid w:val="00E3744B"/>
    <w:rsid w:val="00E42E1E"/>
    <w:rsid w:val="00E50C16"/>
    <w:rsid w:val="00E53242"/>
    <w:rsid w:val="00E54FF9"/>
    <w:rsid w:val="00E6049D"/>
    <w:rsid w:val="00E64577"/>
    <w:rsid w:val="00E6479E"/>
    <w:rsid w:val="00E666F7"/>
    <w:rsid w:val="00E66E1C"/>
    <w:rsid w:val="00E67684"/>
    <w:rsid w:val="00E736C6"/>
    <w:rsid w:val="00E77B49"/>
    <w:rsid w:val="00E808FD"/>
    <w:rsid w:val="00E871BE"/>
    <w:rsid w:val="00E87A8E"/>
    <w:rsid w:val="00E90121"/>
    <w:rsid w:val="00E95700"/>
    <w:rsid w:val="00EA4344"/>
    <w:rsid w:val="00EB1ACB"/>
    <w:rsid w:val="00EB204E"/>
    <w:rsid w:val="00EB302F"/>
    <w:rsid w:val="00EB5333"/>
    <w:rsid w:val="00EC27A8"/>
    <w:rsid w:val="00ED0A6A"/>
    <w:rsid w:val="00ED14C8"/>
    <w:rsid w:val="00ED53D8"/>
    <w:rsid w:val="00EE0784"/>
    <w:rsid w:val="00EE1401"/>
    <w:rsid w:val="00EE257B"/>
    <w:rsid w:val="00EF095D"/>
    <w:rsid w:val="00EF2248"/>
    <w:rsid w:val="00EF5085"/>
    <w:rsid w:val="00EF64B0"/>
    <w:rsid w:val="00F0221C"/>
    <w:rsid w:val="00F02471"/>
    <w:rsid w:val="00F0535D"/>
    <w:rsid w:val="00F10881"/>
    <w:rsid w:val="00F1312E"/>
    <w:rsid w:val="00F1334A"/>
    <w:rsid w:val="00F16CBE"/>
    <w:rsid w:val="00F17810"/>
    <w:rsid w:val="00F21066"/>
    <w:rsid w:val="00F21631"/>
    <w:rsid w:val="00F220EE"/>
    <w:rsid w:val="00F22F2B"/>
    <w:rsid w:val="00F24CED"/>
    <w:rsid w:val="00F274CC"/>
    <w:rsid w:val="00F279D6"/>
    <w:rsid w:val="00F336F5"/>
    <w:rsid w:val="00F34171"/>
    <w:rsid w:val="00F40824"/>
    <w:rsid w:val="00F40E80"/>
    <w:rsid w:val="00F42227"/>
    <w:rsid w:val="00F42C39"/>
    <w:rsid w:val="00F468DA"/>
    <w:rsid w:val="00F523BC"/>
    <w:rsid w:val="00F575D5"/>
    <w:rsid w:val="00F60C5A"/>
    <w:rsid w:val="00F60F0E"/>
    <w:rsid w:val="00F65C43"/>
    <w:rsid w:val="00F65E82"/>
    <w:rsid w:val="00F72BD7"/>
    <w:rsid w:val="00F73292"/>
    <w:rsid w:val="00F75663"/>
    <w:rsid w:val="00F8244A"/>
    <w:rsid w:val="00F8350C"/>
    <w:rsid w:val="00F843D1"/>
    <w:rsid w:val="00F863FC"/>
    <w:rsid w:val="00F873BB"/>
    <w:rsid w:val="00F9230E"/>
    <w:rsid w:val="00F930BC"/>
    <w:rsid w:val="00F95A61"/>
    <w:rsid w:val="00F962FD"/>
    <w:rsid w:val="00FA11DF"/>
    <w:rsid w:val="00FA1E44"/>
    <w:rsid w:val="00FA635F"/>
    <w:rsid w:val="00FB20E1"/>
    <w:rsid w:val="00FB4AE0"/>
    <w:rsid w:val="00FB534F"/>
    <w:rsid w:val="00FB59D0"/>
    <w:rsid w:val="00FC25E3"/>
    <w:rsid w:val="00FC4493"/>
    <w:rsid w:val="00FD1E2B"/>
    <w:rsid w:val="00FD2304"/>
    <w:rsid w:val="00FD64D1"/>
    <w:rsid w:val="00FE1B2D"/>
    <w:rsid w:val="00FE4940"/>
    <w:rsid w:val="00FE4CD8"/>
    <w:rsid w:val="00FE68D4"/>
    <w:rsid w:val="00FE7D5E"/>
    <w:rsid w:val="00FF3ADB"/>
    <w:rsid w:val="00FF48BF"/>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4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B"/>
    <w:rPr>
      <w:sz w:val="24"/>
      <w:szCs w:val="24"/>
      <w:lang w:val="sr-Latn-C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link w:val="BodyTextIndent3Char"/>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ListParagraph">
    <w:name w:val="List Paragraph"/>
    <w:basedOn w:val="Normal"/>
    <w:qFormat/>
    <w:rsid w:val="009861AB"/>
    <w:pPr>
      <w:spacing w:after="200" w:line="276" w:lineRule="auto"/>
      <w:ind w:left="720"/>
      <w:contextualSpacing/>
    </w:pPr>
    <w:rPr>
      <w:rFonts w:ascii="Calibri" w:eastAsia="Calibri" w:hAnsi="Calibri"/>
      <w:sz w:val="22"/>
      <w:szCs w:val="22"/>
    </w:rPr>
  </w:style>
  <w:style w:type="character" w:customStyle="1" w:styleId="alphaCharCharCharChar1">
    <w:name w:val="alpha Char Char Char Char1"/>
    <w:basedOn w:val="DefaultParagraphFont"/>
    <w:rsid w:val="009861AB"/>
    <w:rPr>
      <w:rFonts w:ascii="Arial" w:hAnsi="Arial" w:cs="Arial" w:hint="default"/>
      <w:lang w:val="en-US" w:eastAsia="en-US" w:bidi="ar-SA"/>
    </w:rPr>
  </w:style>
  <w:style w:type="character" w:customStyle="1" w:styleId="BodyTextIndent3Char">
    <w:name w:val="Body Text Indent 3 Char"/>
    <w:basedOn w:val="DefaultParagraphFont"/>
    <w:link w:val="BodyTextIndent3"/>
    <w:rsid w:val="009861AB"/>
    <w:rPr>
      <w:rFonts w:ascii="Verdana" w:hAnsi="Verdana"/>
      <w:sz w:val="16"/>
      <w:szCs w:val="16"/>
      <w:lang w:eastAsia="en-US"/>
    </w:rPr>
  </w:style>
  <w:style w:type="paragraph" w:customStyle="1" w:styleId="roman2">
    <w:name w:val="roman 2"/>
    <w:basedOn w:val="Normal"/>
    <w:next w:val="Normal"/>
    <w:rsid w:val="009861AB"/>
    <w:pPr>
      <w:autoSpaceDE w:val="0"/>
      <w:autoSpaceDN w:val="0"/>
      <w:adjustRightInd w:val="0"/>
    </w:pPr>
    <w:rPr>
      <w:lang w:val="en-US"/>
    </w:rPr>
  </w:style>
  <w:style w:type="character" w:styleId="CommentReference">
    <w:name w:val="annotation reference"/>
    <w:basedOn w:val="DefaultParagraphFont"/>
    <w:semiHidden/>
    <w:unhideWhenUsed/>
    <w:rsid w:val="00C20FEC"/>
    <w:rPr>
      <w:sz w:val="16"/>
      <w:szCs w:val="16"/>
    </w:rPr>
  </w:style>
  <w:style w:type="paragraph" w:styleId="CommentText">
    <w:name w:val="annotation text"/>
    <w:basedOn w:val="Normal"/>
    <w:link w:val="CommentTextChar"/>
    <w:semiHidden/>
    <w:unhideWhenUsed/>
    <w:rsid w:val="00C20FEC"/>
    <w:rPr>
      <w:sz w:val="20"/>
      <w:szCs w:val="20"/>
    </w:rPr>
  </w:style>
  <w:style w:type="character" w:customStyle="1" w:styleId="CommentTextChar">
    <w:name w:val="Comment Text Char"/>
    <w:basedOn w:val="DefaultParagraphFont"/>
    <w:link w:val="CommentText"/>
    <w:semiHidden/>
    <w:rsid w:val="00C20FEC"/>
    <w:rPr>
      <w:lang w:val="sr-Latn-CS" w:eastAsia="en-US"/>
    </w:rPr>
  </w:style>
  <w:style w:type="paragraph" w:styleId="CommentSubject">
    <w:name w:val="annotation subject"/>
    <w:basedOn w:val="CommentText"/>
    <w:next w:val="CommentText"/>
    <w:link w:val="CommentSubjectChar"/>
    <w:semiHidden/>
    <w:unhideWhenUsed/>
    <w:rsid w:val="00C20FEC"/>
    <w:rPr>
      <w:b/>
      <w:bCs/>
    </w:rPr>
  </w:style>
  <w:style w:type="character" w:customStyle="1" w:styleId="CommentSubjectChar">
    <w:name w:val="Comment Subject Char"/>
    <w:basedOn w:val="CommentTextChar"/>
    <w:link w:val="CommentSubject"/>
    <w:semiHidden/>
    <w:rsid w:val="00C20FEC"/>
    <w:rPr>
      <w:b/>
      <w:bCs/>
      <w:lang w:val="sr-Latn-CS" w:eastAsia="en-US"/>
    </w:rPr>
  </w:style>
  <w:style w:type="paragraph" w:styleId="BalloonText">
    <w:name w:val="Balloon Text"/>
    <w:basedOn w:val="Normal"/>
    <w:link w:val="BalloonTextChar"/>
    <w:semiHidden/>
    <w:unhideWhenUsed/>
    <w:rsid w:val="00C20FEC"/>
    <w:rPr>
      <w:rFonts w:ascii="Segoe UI" w:hAnsi="Segoe UI" w:cs="Segoe UI"/>
      <w:sz w:val="18"/>
      <w:szCs w:val="18"/>
    </w:rPr>
  </w:style>
  <w:style w:type="character" w:customStyle="1" w:styleId="BalloonTextChar">
    <w:name w:val="Balloon Text Char"/>
    <w:basedOn w:val="DefaultParagraphFont"/>
    <w:link w:val="BalloonText"/>
    <w:semiHidden/>
    <w:rsid w:val="00C20FEC"/>
    <w:rPr>
      <w:rFonts w:ascii="Segoe UI" w:hAnsi="Segoe UI" w:cs="Segoe UI"/>
      <w:sz w:val="18"/>
      <w:szCs w:val="18"/>
      <w:lang w:val="sr-Latn-CS" w:eastAsia="en-US"/>
    </w:rPr>
  </w:style>
  <w:style w:type="table" w:customStyle="1" w:styleId="TableGrid10">
    <w:name w:val="Table Grid1"/>
    <w:basedOn w:val="TableNormal"/>
    <w:next w:val="TableGrid"/>
    <w:uiPriority w:val="39"/>
    <w:rsid w:val="00D73E1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B"/>
    <w:rPr>
      <w:sz w:val="24"/>
      <w:szCs w:val="24"/>
      <w:lang w:val="sr-Latn-C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link w:val="BodyTextIndent3Char"/>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ListParagraph">
    <w:name w:val="List Paragraph"/>
    <w:basedOn w:val="Normal"/>
    <w:qFormat/>
    <w:rsid w:val="009861AB"/>
    <w:pPr>
      <w:spacing w:after="200" w:line="276" w:lineRule="auto"/>
      <w:ind w:left="720"/>
      <w:contextualSpacing/>
    </w:pPr>
    <w:rPr>
      <w:rFonts w:ascii="Calibri" w:eastAsia="Calibri" w:hAnsi="Calibri"/>
      <w:sz w:val="22"/>
      <w:szCs w:val="22"/>
    </w:rPr>
  </w:style>
  <w:style w:type="character" w:customStyle="1" w:styleId="alphaCharCharCharChar1">
    <w:name w:val="alpha Char Char Char Char1"/>
    <w:basedOn w:val="DefaultParagraphFont"/>
    <w:rsid w:val="009861AB"/>
    <w:rPr>
      <w:rFonts w:ascii="Arial" w:hAnsi="Arial" w:cs="Arial" w:hint="default"/>
      <w:lang w:val="en-US" w:eastAsia="en-US" w:bidi="ar-SA"/>
    </w:rPr>
  </w:style>
  <w:style w:type="character" w:customStyle="1" w:styleId="BodyTextIndent3Char">
    <w:name w:val="Body Text Indent 3 Char"/>
    <w:basedOn w:val="DefaultParagraphFont"/>
    <w:link w:val="BodyTextIndent3"/>
    <w:rsid w:val="009861AB"/>
    <w:rPr>
      <w:rFonts w:ascii="Verdana" w:hAnsi="Verdana"/>
      <w:sz w:val="16"/>
      <w:szCs w:val="16"/>
      <w:lang w:eastAsia="en-US"/>
    </w:rPr>
  </w:style>
  <w:style w:type="paragraph" w:customStyle="1" w:styleId="roman2">
    <w:name w:val="roman 2"/>
    <w:basedOn w:val="Normal"/>
    <w:next w:val="Normal"/>
    <w:rsid w:val="009861AB"/>
    <w:pPr>
      <w:autoSpaceDE w:val="0"/>
      <w:autoSpaceDN w:val="0"/>
      <w:adjustRightInd w:val="0"/>
    </w:pPr>
    <w:rPr>
      <w:lang w:val="en-US"/>
    </w:rPr>
  </w:style>
  <w:style w:type="character" w:styleId="CommentReference">
    <w:name w:val="annotation reference"/>
    <w:basedOn w:val="DefaultParagraphFont"/>
    <w:semiHidden/>
    <w:unhideWhenUsed/>
    <w:rsid w:val="00C20FEC"/>
    <w:rPr>
      <w:sz w:val="16"/>
      <w:szCs w:val="16"/>
    </w:rPr>
  </w:style>
  <w:style w:type="paragraph" w:styleId="CommentText">
    <w:name w:val="annotation text"/>
    <w:basedOn w:val="Normal"/>
    <w:link w:val="CommentTextChar"/>
    <w:semiHidden/>
    <w:unhideWhenUsed/>
    <w:rsid w:val="00C20FEC"/>
    <w:rPr>
      <w:sz w:val="20"/>
      <w:szCs w:val="20"/>
    </w:rPr>
  </w:style>
  <w:style w:type="character" w:customStyle="1" w:styleId="CommentTextChar">
    <w:name w:val="Comment Text Char"/>
    <w:basedOn w:val="DefaultParagraphFont"/>
    <w:link w:val="CommentText"/>
    <w:semiHidden/>
    <w:rsid w:val="00C20FEC"/>
    <w:rPr>
      <w:lang w:val="sr-Latn-CS" w:eastAsia="en-US"/>
    </w:rPr>
  </w:style>
  <w:style w:type="paragraph" w:styleId="CommentSubject">
    <w:name w:val="annotation subject"/>
    <w:basedOn w:val="CommentText"/>
    <w:next w:val="CommentText"/>
    <w:link w:val="CommentSubjectChar"/>
    <w:semiHidden/>
    <w:unhideWhenUsed/>
    <w:rsid w:val="00C20FEC"/>
    <w:rPr>
      <w:b/>
      <w:bCs/>
    </w:rPr>
  </w:style>
  <w:style w:type="character" w:customStyle="1" w:styleId="CommentSubjectChar">
    <w:name w:val="Comment Subject Char"/>
    <w:basedOn w:val="CommentTextChar"/>
    <w:link w:val="CommentSubject"/>
    <w:semiHidden/>
    <w:rsid w:val="00C20FEC"/>
    <w:rPr>
      <w:b/>
      <w:bCs/>
      <w:lang w:val="sr-Latn-CS" w:eastAsia="en-US"/>
    </w:rPr>
  </w:style>
  <w:style w:type="paragraph" w:styleId="BalloonText">
    <w:name w:val="Balloon Text"/>
    <w:basedOn w:val="Normal"/>
    <w:link w:val="BalloonTextChar"/>
    <w:semiHidden/>
    <w:unhideWhenUsed/>
    <w:rsid w:val="00C20FEC"/>
    <w:rPr>
      <w:rFonts w:ascii="Segoe UI" w:hAnsi="Segoe UI" w:cs="Segoe UI"/>
      <w:sz w:val="18"/>
      <w:szCs w:val="18"/>
    </w:rPr>
  </w:style>
  <w:style w:type="character" w:customStyle="1" w:styleId="BalloonTextChar">
    <w:name w:val="Balloon Text Char"/>
    <w:basedOn w:val="DefaultParagraphFont"/>
    <w:link w:val="BalloonText"/>
    <w:semiHidden/>
    <w:rsid w:val="00C20FEC"/>
    <w:rPr>
      <w:rFonts w:ascii="Segoe UI" w:hAnsi="Segoe UI" w:cs="Segoe UI"/>
      <w:sz w:val="18"/>
      <w:szCs w:val="18"/>
      <w:lang w:val="sr-Latn-CS" w:eastAsia="en-US"/>
    </w:rPr>
  </w:style>
  <w:style w:type="table" w:customStyle="1" w:styleId="TableGrid10">
    <w:name w:val="Table Grid1"/>
    <w:basedOn w:val="TableNormal"/>
    <w:next w:val="TableGrid"/>
    <w:uiPriority w:val="39"/>
    <w:rsid w:val="00D73E1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3P&amp;PFI SOLUTIONS</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Ilic</dc:creator>
  <cp:lastModifiedBy>Zorica Milivojević</cp:lastModifiedBy>
  <cp:revision>2</cp:revision>
  <cp:lastPrinted>2020-08-14T08:04:00Z</cp:lastPrinted>
  <dcterms:created xsi:type="dcterms:W3CDTF">2021-11-30T08:26:00Z</dcterms:created>
  <dcterms:modified xsi:type="dcterms:W3CDTF">2021-11-30T08:26:00Z</dcterms:modified>
</cp:coreProperties>
</file>