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F098C" w14:textId="763FBC8E" w:rsidR="00AE6605" w:rsidRPr="00F02471" w:rsidRDefault="009D25EC" w:rsidP="00AE6605">
      <w:pPr>
        <w:spacing w:after="160" w:line="259" w:lineRule="auto"/>
        <w:jc w:val="center"/>
        <w:rPr>
          <w:rFonts w:ascii="Verdana" w:eastAsia="Calibri" w:hAnsi="Verdana"/>
          <w:sz w:val="40"/>
          <w:szCs w:val="40"/>
          <w:lang w:val="sr-Cyrl-RS"/>
        </w:rPr>
      </w:pPr>
      <w:bookmarkStart w:id="0" w:name="_GoBack"/>
      <w:bookmarkEnd w:id="0"/>
      <w:r>
        <w:rPr>
          <w:rFonts w:ascii="Verdana" w:eastAsia="Calibri" w:hAnsi="Verdana"/>
          <w:sz w:val="40"/>
          <w:szCs w:val="40"/>
          <w:lang w:val="sr-Cyrl-RS"/>
        </w:rPr>
        <w:t>REPUBLIC OF SERBIA</w:t>
      </w:r>
    </w:p>
    <w:p w14:paraId="650E24A3" w14:textId="62C78A72" w:rsidR="00AE6605" w:rsidRPr="009D25EC" w:rsidRDefault="009D25EC" w:rsidP="009D25EC">
      <w:pPr>
        <w:spacing w:after="160" w:line="259" w:lineRule="auto"/>
        <w:rPr>
          <w:rFonts w:ascii="Verdana" w:eastAsia="Calibri" w:hAnsi="Verdana"/>
          <w:sz w:val="40"/>
          <w:szCs w:val="40"/>
          <w:lang w:val="sr-Latn-RS"/>
        </w:rPr>
      </w:pPr>
      <w:r>
        <w:rPr>
          <w:rFonts w:ascii="Verdana" w:eastAsia="Calibri" w:hAnsi="Verdana"/>
          <w:sz w:val="40"/>
          <w:szCs w:val="40"/>
          <w:lang w:val="sr-Latn-RS"/>
        </w:rPr>
        <w:t xml:space="preserve">                    CITY OF PROKUPLJE</w:t>
      </w:r>
    </w:p>
    <w:p w14:paraId="6AA07DD1" w14:textId="77777777" w:rsidR="00535788" w:rsidRPr="00F02471" w:rsidRDefault="00D36F61" w:rsidP="009861AB">
      <w:pPr>
        <w:jc w:val="center"/>
        <w:rPr>
          <w:rFonts w:ascii="Verdana" w:hAnsi="Verdana" w:cs="Arial"/>
          <w:b/>
          <w:iCs/>
        </w:rPr>
      </w:pPr>
      <w:r w:rsidRPr="00F02471">
        <w:rPr>
          <w:rFonts w:ascii="Verdana" w:eastAsia="Calibri" w:hAnsi="Verdana" w:cs="Calibri"/>
          <w:noProof/>
          <w:lang w:val="en-GB" w:eastAsia="en-GB"/>
        </w:rPr>
        <w:drawing>
          <wp:inline distT="0" distB="0" distL="0" distR="0" wp14:anchorId="5097C8BC" wp14:editId="69FCA957">
            <wp:extent cx="2030412" cy="2433891"/>
            <wp:effectExtent l="0" t="0" r="0" b="0"/>
            <wp:docPr id="1" name="image1.jpg" descr="COA Prokuplje.jpg"/>
            <wp:cNvGraphicFramePr/>
            <a:graphic xmlns:a="http://schemas.openxmlformats.org/drawingml/2006/main">
              <a:graphicData uri="http://schemas.openxmlformats.org/drawingml/2006/picture">
                <pic:pic xmlns:pic="http://schemas.openxmlformats.org/drawingml/2006/picture">
                  <pic:nvPicPr>
                    <pic:cNvPr id="0" name="image1.jpg" descr="COA Prokuplje.jpg"/>
                    <pic:cNvPicPr preferRelativeResize="0"/>
                  </pic:nvPicPr>
                  <pic:blipFill>
                    <a:blip r:embed="rId8"/>
                    <a:srcRect/>
                    <a:stretch>
                      <a:fillRect/>
                    </a:stretch>
                  </pic:blipFill>
                  <pic:spPr>
                    <a:xfrm>
                      <a:off x="0" y="0"/>
                      <a:ext cx="2030412" cy="2433891"/>
                    </a:xfrm>
                    <a:prstGeom prst="rect">
                      <a:avLst/>
                    </a:prstGeom>
                    <a:ln/>
                  </pic:spPr>
                </pic:pic>
              </a:graphicData>
            </a:graphic>
          </wp:inline>
        </w:drawing>
      </w:r>
    </w:p>
    <w:p w14:paraId="06074E23" w14:textId="0AA848BA" w:rsidR="00AE6605" w:rsidRDefault="00AE6605" w:rsidP="005A0D5C">
      <w:pPr>
        <w:pStyle w:val="Stext"/>
        <w:rPr>
          <w:lang w:val="sr-Latn-CS"/>
        </w:rPr>
      </w:pPr>
    </w:p>
    <w:p w14:paraId="278767F6" w14:textId="228631A5" w:rsidR="009D25EC" w:rsidRPr="00284E2B" w:rsidRDefault="009D25EC" w:rsidP="005A0D5C">
      <w:pPr>
        <w:pStyle w:val="Stext"/>
        <w:rPr>
          <w:lang w:val="sr-Cyrl-RS"/>
        </w:rPr>
      </w:pPr>
      <w:r w:rsidRPr="00284E2B">
        <w:rPr>
          <w:lang w:val="sr-Latn-CS"/>
        </w:rPr>
        <w:t xml:space="preserve">Pursuant to article 35, and related to article 10, </w:t>
      </w:r>
      <w:r w:rsidR="00936F5E">
        <w:rPr>
          <w:lang w:val="sr-Latn-CS"/>
        </w:rPr>
        <w:t>paragraph</w:t>
      </w:r>
      <w:r w:rsidRPr="00284E2B">
        <w:rPr>
          <w:lang w:val="sr-Latn-CS"/>
        </w:rPr>
        <w:t xml:space="preserve"> 1, article 20, </w:t>
      </w:r>
      <w:r w:rsidR="00936F5E">
        <w:rPr>
          <w:lang w:val="sr-Latn-CS"/>
        </w:rPr>
        <w:t>paragraph</w:t>
      </w:r>
      <w:r w:rsidRPr="00284E2B">
        <w:rPr>
          <w:lang w:val="sr-Latn-CS"/>
        </w:rPr>
        <w:t xml:space="preserve"> 3 and article 22 of the Law o</w:t>
      </w:r>
      <w:r w:rsidR="00284E2B">
        <w:rPr>
          <w:lang w:val="sr-Latn-CS"/>
        </w:rPr>
        <w:t>n</w:t>
      </w:r>
      <w:r w:rsidRPr="00284E2B">
        <w:rPr>
          <w:lang w:val="sr-Latn-CS"/>
        </w:rPr>
        <w:t xml:space="preserve"> public-private partnership and concessions of the Republic of Serbia („Official gazette of the RS“, issues 88/2011, 15/2016, and 104/2016) („The Law o</w:t>
      </w:r>
      <w:r w:rsidR="00284E2B">
        <w:rPr>
          <w:lang w:val="sr-Latn-CS"/>
        </w:rPr>
        <w:t>n</w:t>
      </w:r>
      <w:r w:rsidRPr="00284E2B">
        <w:rPr>
          <w:lang w:val="sr-Latn-CS"/>
        </w:rPr>
        <w:t xml:space="preserve"> concessions“), The </w:t>
      </w:r>
      <w:r w:rsidR="00284E2B">
        <w:rPr>
          <w:lang w:val="sr-Latn-CS"/>
        </w:rPr>
        <w:t>City</w:t>
      </w:r>
      <w:r w:rsidRPr="00284E2B">
        <w:rPr>
          <w:lang w:val="sr-Latn-CS"/>
        </w:rPr>
        <w:t xml:space="preserve"> of Prokuplje („The City“), in the capacity of a concedent announces this</w:t>
      </w:r>
    </w:p>
    <w:p w14:paraId="614D50F5" w14:textId="77777777" w:rsidR="009861AB" w:rsidRPr="00284E2B" w:rsidRDefault="009861AB" w:rsidP="009861AB">
      <w:pPr>
        <w:rPr>
          <w:rFonts w:ascii="Verdana" w:hAnsi="Verdana" w:cs="Arial"/>
          <w:b/>
          <w:sz w:val="20"/>
          <w:szCs w:val="20"/>
        </w:rPr>
      </w:pPr>
    </w:p>
    <w:p w14:paraId="6E27A257" w14:textId="58D95227" w:rsidR="00AE6605" w:rsidRPr="00284E2B" w:rsidRDefault="009D25EC" w:rsidP="005A0D5C">
      <w:pPr>
        <w:jc w:val="center"/>
        <w:rPr>
          <w:rFonts w:ascii="Verdana" w:hAnsi="Verdana" w:cs="Arial"/>
          <w:b/>
          <w:sz w:val="20"/>
          <w:szCs w:val="20"/>
        </w:rPr>
      </w:pPr>
      <w:r w:rsidRPr="00284E2B">
        <w:rPr>
          <w:rFonts w:ascii="Verdana" w:hAnsi="Verdana" w:cs="Arial"/>
          <w:b/>
          <w:sz w:val="20"/>
          <w:szCs w:val="20"/>
        </w:rPr>
        <w:t>PUBLIC CALL</w:t>
      </w:r>
    </w:p>
    <w:p w14:paraId="018BCD8F" w14:textId="77777777" w:rsidR="00AE6605" w:rsidRPr="00284E2B" w:rsidRDefault="00AE6605" w:rsidP="005A0D5C">
      <w:pPr>
        <w:jc w:val="center"/>
        <w:rPr>
          <w:rFonts w:ascii="Verdana" w:hAnsi="Verdana" w:cs="Arial"/>
          <w:b/>
          <w:sz w:val="20"/>
          <w:szCs w:val="20"/>
        </w:rPr>
      </w:pPr>
    </w:p>
    <w:p w14:paraId="6B59946E" w14:textId="50694884" w:rsidR="00AE6605" w:rsidRPr="00284E2B" w:rsidRDefault="00AE6605" w:rsidP="005A0D5C">
      <w:pPr>
        <w:spacing w:before="120" w:after="60" w:line="280" w:lineRule="atLeast"/>
        <w:jc w:val="center"/>
        <w:rPr>
          <w:rFonts w:ascii="Verdana" w:hAnsi="Verdana" w:cs="Arial"/>
          <w:sz w:val="20"/>
          <w:szCs w:val="20"/>
        </w:rPr>
      </w:pPr>
    </w:p>
    <w:p w14:paraId="76DBE7B4" w14:textId="3ADCE36C" w:rsidR="009D25EC" w:rsidRPr="00284E2B" w:rsidRDefault="009D25EC" w:rsidP="005A0D5C">
      <w:pPr>
        <w:spacing w:before="120" w:after="60" w:line="280" w:lineRule="atLeast"/>
        <w:jc w:val="center"/>
        <w:rPr>
          <w:rFonts w:ascii="Verdana" w:hAnsi="Verdana" w:cs="Arial"/>
          <w:sz w:val="20"/>
          <w:szCs w:val="20"/>
        </w:rPr>
      </w:pPr>
      <w:r w:rsidRPr="00284E2B">
        <w:rPr>
          <w:rFonts w:ascii="Verdana" w:hAnsi="Verdana" w:cs="Arial"/>
          <w:sz w:val="20"/>
          <w:szCs w:val="20"/>
        </w:rPr>
        <w:t xml:space="preserve">for </w:t>
      </w:r>
      <w:r w:rsidR="00284E2B">
        <w:rPr>
          <w:rFonts w:ascii="Verdana" w:hAnsi="Verdana" w:cs="Arial"/>
          <w:sz w:val="20"/>
          <w:szCs w:val="20"/>
        </w:rPr>
        <w:t xml:space="preserve">the </w:t>
      </w:r>
      <w:r w:rsidRPr="00284E2B">
        <w:rPr>
          <w:rFonts w:ascii="Verdana" w:hAnsi="Verdana" w:cs="Arial"/>
          <w:sz w:val="20"/>
          <w:szCs w:val="20"/>
        </w:rPr>
        <w:t xml:space="preserve">participation in the procedure of </w:t>
      </w:r>
    </w:p>
    <w:p w14:paraId="66A0239D" w14:textId="77777777" w:rsidR="00D36F61" w:rsidRPr="00284E2B" w:rsidRDefault="00D36F61" w:rsidP="00D36F61">
      <w:pPr>
        <w:jc w:val="center"/>
        <w:rPr>
          <w:rFonts w:ascii="Verdana" w:hAnsi="Verdana" w:cs="Arial"/>
          <w:b/>
          <w:sz w:val="20"/>
          <w:szCs w:val="20"/>
        </w:rPr>
      </w:pPr>
    </w:p>
    <w:p w14:paraId="288339BE" w14:textId="0EC6BEFD" w:rsidR="00D36F61" w:rsidRPr="00284E2B" w:rsidRDefault="009D25EC" w:rsidP="00D36F61">
      <w:pPr>
        <w:jc w:val="center"/>
        <w:rPr>
          <w:rFonts w:ascii="Verdana" w:hAnsi="Verdana" w:cs="Arial"/>
          <w:b/>
          <w:sz w:val="20"/>
          <w:szCs w:val="20"/>
          <w:lang w:val="sr-Cyrl-RS"/>
        </w:rPr>
      </w:pPr>
      <w:r w:rsidRPr="00284E2B">
        <w:rPr>
          <w:rFonts w:ascii="Verdana" w:hAnsi="Verdana" w:cs="Arial"/>
          <w:b/>
          <w:sz w:val="20"/>
          <w:szCs w:val="20"/>
        </w:rPr>
        <w:t>CONCESSION AWARD</w:t>
      </w:r>
    </w:p>
    <w:p w14:paraId="4D4B0397" w14:textId="1CCEFEC4" w:rsidR="005C37D5" w:rsidRPr="00284E2B" w:rsidRDefault="009D25EC" w:rsidP="005C37D5">
      <w:pPr>
        <w:spacing w:before="120" w:after="60" w:line="280" w:lineRule="atLeast"/>
        <w:jc w:val="center"/>
        <w:rPr>
          <w:rFonts w:ascii="Verdana" w:hAnsi="Verdana" w:cs="Arial"/>
          <w:b/>
          <w:sz w:val="20"/>
          <w:szCs w:val="20"/>
          <w:lang w:val="sr-Cyrl-CS"/>
        </w:rPr>
      </w:pPr>
      <w:r w:rsidRPr="00284E2B">
        <w:rPr>
          <w:rFonts w:ascii="Verdana" w:hAnsi="Verdana" w:cs="Arial"/>
          <w:b/>
          <w:sz w:val="20"/>
          <w:szCs w:val="20"/>
          <w:lang w:val="sr-Cyrl-CS"/>
        </w:rPr>
        <w:t xml:space="preserve">For </w:t>
      </w:r>
      <w:r w:rsidRPr="00284E2B">
        <w:rPr>
          <w:rFonts w:ascii="Verdana" w:hAnsi="Verdana" w:cs="Arial"/>
          <w:b/>
          <w:sz w:val="20"/>
          <w:szCs w:val="20"/>
          <w:lang w:val="sr-Latn-RS"/>
        </w:rPr>
        <w:t>financing</w:t>
      </w:r>
      <w:r w:rsidRPr="00284E2B">
        <w:rPr>
          <w:rFonts w:ascii="Verdana" w:hAnsi="Verdana" w:cs="Arial"/>
          <w:b/>
          <w:sz w:val="20"/>
          <w:szCs w:val="20"/>
          <w:lang w:val="sr-Cyrl-CS"/>
        </w:rPr>
        <w:t>, management</w:t>
      </w:r>
      <w:r w:rsidR="00284E2B">
        <w:rPr>
          <w:rFonts w:ascii="Verdana" w:hAnsi="Verdana" w:cs="Arial"/>
          <w:b/>
          <w:sz w:val="20"/>
          <w:szCs w:val="20"/>
          <w:lang w:val="sr-Latn-RS"/>
        </w:rPr>
        <w:t>,</w:t>
      </w:r>
      <w:r w:rsidRPr="00284E2B">
        <w:rPr>
          <w:rFonts w:ascii="Verdana" w:hAnsi="Verdana" w:cs="Arial"/>
          <w:b/>
          <w:sz w:val="20"/>
          <w:szCs w:val="20"/>
          <w:lang w:val="sr-Cyrl-CS"/>
        </w:rPr>
        <w:t xml:space="preserve"> and performin</w:t>
      </w:r>
      <w:r w:rsidR="00284E2B">
        <w:rPr>
          <w:rFonts w:ascii="Verdana" w:hAnsi="Verdana" w:cs="Arial"/>
          <w:b/>
          <w:sz w:val="20"/>
          <w:szCs w:val="20"/>
          <w:lang w:val="sr-Latn-RS"/>
        </w:rPr>
        <w:t>g communal activities</w:t>
      </w:r>
      <w:r w:rsidR="005C37D5" w:rsidRPr="00284E2B">
        <w:rPr>
          <w:rFonts w:ascii="Verdana" w:hAnsi="Verdana" w:cs="Arial"/>
          <w:b/>
          <w:bCs/>
          <w:sz w:val="20"/>
          <w:szCs w:val="20"/>
          <w:lang w:val="en-US"/>
        </w:rPr>
        <w:t xml:space="preserve"> </w:t>
      </w:r>
      <w:r w:rsidRPr="00284E2B">
        <w:rPr>
          <w:rFonts w:ascii="Verdana" w:hAnsi="Verdana" w:cs="Arial"/>
          <w:b/>
          <w:bCs/>
          <w:sz w:val="20"/>
          <w:szCs w:val="20"/>
          <w:lang w:val="sr-Cyrl-RS"/>
        </w:rPr>
        <w:t>related to parking lots</w:t>
      </w:r>
      <w:r w:rsidRPr="00284E2B">
        <w:rPr>
          <w:rFonts w:ascii="Verdana" w:hAnsi="Verdana" w:cs="Arial"/>
          <w:b/>
          <w:bCs/>
          <w:sz w:val="20"/>
          <w:szCs w:val="20"/>
          <w:lang w:val="en-US"/>
        </w:rPr>
        <w:t>, city cleanliness, city open markets and urban green spaces in the city of Prokuplje</w:t>
      </w:r>
    </w:p>
    <w:p w14:paraId="0BC14EA1" w14:textId="113A4D67" w:rsidR="00A11E5E" w:rsidRPr="00284E2B" w:rsidRDefault="00A11E5E" w:rsidP="005C37D5">
      <w:pPr>
        <w:jc w:val="both"/>
        <w:rPr>
          <w:rFonts w:ascii="Verdana" w:hAnsi="Verdana"/>
          <w:sz w:val="20"/>
          <w:szCs w:val="20"/>
          <w:lang w:val="sr-Cyrl-CS"/>
        </w:rPr>
      </w:pPr>
    </w:p>
    <w:p w14:paraId="11F22F5D" w14:textId="27CA2D38" w:rsidR="00307DD9" w:rsidRPr="00284E2B" w:rsidRDefault="009D25EC" w:rsidP="000E14DA">
      <w:pPr>
        <w:pStyle w:val="Stext"/>
        <w:rPr>
          <w:lang w:val="sr-Latn-RS" w:eastAsia="en-US"/>
        </w:rPr>
      </w:pPr>
      <w:r w:rsidRPr="00284E2B">
        <w:rPr>
          <w:lang w:val="sr-Latn-CS"/>
        </w:rPr>
        <w:t xml:space="preserve">The </w:t>
      </w:r>
      <w:r w:rsidR="00936F5E">
        <w:rPr>
          <w:lang w:val="sr-Latn-CS"/>
        </w:rPr>
        <w:t>C</w:t>
      </w:r>
      <w:r w:rsidRPr="00284E2B">
        <w:rPr>
          <w:lang w:val="sr-Latn-CS"/>
        </w:rPr>
        <w:t xml:space="preserve">ity </w:t>
      </w:r>
      <w:r w:rsidR="00936F5E">
        <w:rPr>
          <w:lang w:val="sr-Latn-CS"/>
        </w:rPr>
        <w:t>invites</w:t>
      </w:r>
      <w:r w:rsidRPr="00284E2B">
        <w:rPr>
          <w:lang w:val="sr-Latn-CS"/>
        </w:rPr>
        <w:t xml:space="preserve"> all the</w:t>
      </w:r>
      <w:r w:rsidR="00E33914" w:rsidRPr="00284E2B">
        <w:rPr>
          <w:lang w:val="sr-Latn-CS"/>
        </w:rPr>
        <w:t xml:space="preserve"> interested domestic and foreing legal entities and natu</w:t>
      </w:r>
      <w:r w:rsidR="00E33914" w:rsidRPr="00284E2B">
        <w:rPr>
          <w:lang w:val="sr-Latn-RS" w:eastAsia="en-US"/>
        </w:rPr>
        <w:t>ral persons who fulfill conditions of this public call („</w:t>
      </w:r>
      <w:r w:rsidR="00E33914" w:rsidRPr="00284E2B">
        <w:rPr>
          <w:b/>
          <w:lang w:val="sr-Latn-RS" w:eastAsia="en-US"/>
        </w:rPr>
        <w:t>Public call</w:t>
      </w:r>
      <w:r w:rsidR="00E33914" w:rsidRPr="00284E2B">
        <w:rPr>
          <w:lang w:val="sr-Latn-RS" w:eastAsia="en-US"/>
        </w:rPr>
        <w:t>“)</w:t>
      </w:r>
      <w:r w:rsidRPr="00284E2B">
        <w:rPr>
          <w:b/>
          <w:lang w:val="sr-Cyrl-RS" w:eastAsia="en-US"/>
        </w:rPr>
        <w:t xml:space="preserve"> </w:t>
      </w:r>
      <w:r w:rsidR="00E33914" w:rsidRPr="00284E2B">
        <w:rPr>
          <w:lang w:val="sr-Latn-RS" w:eastAsia="en-US"/>
        </w:rPr>
        <w:t>to participate in the procedure of the concession award for financing, management, and</w:t>
      </w:r>
      <w:r w:rsidR="00E33914" w:rsidRPr="00284E2B">
        <w:rPr>
          <w:rFonts w:cs="Arial"/>
          <w:b/>
          <w:lang w:val="sr-Cyrl-CS" w:eastAsia="en-US"/>
        </w:rPr>
        <w:t xml:space="preserve"> </w:t>
      </w:r>
      <w:r w:rsidR="00E33914" w:rsidRPr="00284E2B">
        <w:rPr>
          <w:lang w:val="sr-Cyrl-CS" w:eastAsia="en-US"/>
        </w:rPr>
        <w:t>performing</w:t>
      </w:r>
      <w:r w:rsidR="00936F5E">
        <w:rPr>
          <w:lang w:val="sr-Latn-RS" w:eastAsia="en-US"/>
        </w:rPr>
        <w:t xml:space="preserve"> communal activities</w:t>
      </w:r>
      <w:r w:rsidR="00E33914" w:rsidRPr="00284E2B">
        <w:rPr>
          <w:bCs/>
          <w:lang w:val="en-US" w:eastAsia="en-US"/>
        </w:rPr>
        <w:t xml:space="preserve"> </w:t>
      </w:r>
      <w:r w:rsidR="00E33914" w:rsidRPr="00284E2B">
        <w:rPr>
          <w:bCs/>
          <w:lang w:val="sr-Cyrl-RS" w:eastAsia="en-US"/>
        </w:rPr>
        <w:t>related to parking lots</w:t>
      </w:r>
      <w:r w:rsidR="00E33914" w:rsidRPr="00284E2B">
        <w:rPr>
          <w:bCs/>
          <w:lang w:val="en-US" w:eastAsia="en-US"/>
        </w:rPr>
        <w:t>, city cleanliness, city open markets and urban green spaces in the city of Prokuplje</w:t>
      </w:r>
      <w:r w:rsidR="00E33914" w:rsidRPr="00284E2B">
        <w:rPr>
          <w:lang w:val="sr-Latn-RS" w:eastAsia="en-US"/>
        </w:rPr>
        <w:t xml:space="preserve"> („Concession“). </w:t>
      </w:r>
    </w:p>
    <w:p w14:paraId="130FB118" w14:textId="0CAA53FF" w:rsidR="0017675D" w:rsidRPr="00F02471" w:rsidRDefault="00E33914" w:rsidP="0017675D">
      <w:pPr>
        <w:pStyle w:val="Sheading1"/>
        <w:rPr>
          <w:lang w:val="sr-Latn-CS"/>
        </w:rPr>
      </w:pPr>
      <w:r>
        <w:rPr>
          <w:lang w:val="sr-Cyrl-RS"/>
        </w:rPr>
        <w:t xml:space="preserve">The </w:t>
      </w:r>
      <w:r>
        <w:rPr>
          <w:lang w:val="sr-Latn-RS"/>
        </w:rPr>
        <w:t>City contact information:</w:t>
      </w:r>
    </w:p>
    <w:tbl>
      <w:tblPr>
        <w:tblStyle w:val="TableGrid"/>
        <w:tblW w:w="0" w:type="auto"/>
        <w:tblInd w:w="6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Look w:val="04A0" w:firstRow="1" w:lastRow="0" w:firstColumn="1" w:lastColumn="0" w:noHBand="0" w:noVBand="1"/>
      </w:tblPr>
      <w:tblGrid>
        <w:gridCol w:w="7117"/>
      </w:tblGrid>
      <w:tr w:rsidR="0017675D" w:rsidRPr="00F02471" w14:paraId="758784EA" w14:textId="77777777" w:rsidTr="005B4BDB">
        <w:trPr>
          <w:trHeight w:val="632"/>
        </w:trPr>
        <w:tc>
          <w:tcPr>
            <w:tcW w:w="7117" w:type="dxa"/>
          </w:tcPr>
          <w:p w14:paraId="5C09A2EF" w14:textId="6125C735" w:rsidR="00AE6605" w:rsidRPr="00284E2B" w:rsidRDefault="00E33914">
            <w:pPr>
              <w:rPr>
                <w:rFonts w:ascii="Verdana" w:hAnsi="Verdana"/>
                <w:sz w:val="20"/>
                <w:szCs w:val="20"/>
                <w:lang w:val="sr-Cyrl-CS"/>
              </w:rPr>
            </w:pPr>
            <w:r w:rsidRPr="00284E2B">
              <w:rPr>
                <w:rFonts w:ascii="Verdana" w:hAnsi="Verdana"/>
                <w:sz w:val="20"/>
                <w:szCs w:val="20"/>
                <w:lang w:val="sr-Latn-RS"/>
              </w:rPr>
              <w:t>Ugljesa Kostic</w:t>
            </w:r>
            <w:r w:rsidRPr="00284E2B">
              <w:rPr>
                <w:rFonts w:ascii="Verdana" w:hAnsi="Verdana"/>
                <w:sz w:val="20"/>
                <w:szCs w:val="20"/>
              </w:rPr>
              <w:t>, the Professional team member</w:t>
            </w:r>
          </w:p>
          <w:p w14:paraId="78BC9405" w14:textId="77777777" w:rsidR="0017675D" w:rsidRPr="00284E2B" w:rsidRDefault="0017675D" w:rsidP="000E14DA">
            <w:pPr>
              <w:pStyle w:val="Stext"/>
              <w:rPr>
                <w:lang w:val="sr-Latn-CS"/>
              </w:rPr>
            </w:pPr>
          </w:p>
        </w:tc>
      </w:tr>
      <w:tr w:rsidR="0017675D" w:rsidRPr="00F02471" w14:paraId="0E2C6DD9" w14:textId="77777777" w:rsidTr="005B4BDB">
        <w:tc>
          <w:tcPr>
            <w:tcW w:w="7117" w:type="dxa"/>
          </w:tcPr>
          <w:p w14:paraId="6B030402" w14:textId="71C2412C" w:rsidR="0017675D" w:rsidRPr="00E33914" w:rsidRDefault="0017675D" w:rsidP="005B4BDB">
            <w:pPr>
              <w:pStyle w:val="Stext1"/>
              <w:ind w:left="0"/>
              <w:rPr>
                <w:lang w:val="sr-Latn-RS" w:eastAsia="en-US"/>
              </w:rPr>
            </w:pPr>
            <w:r w:rsidRPr="00F02471">
              <w:rPr>
                <w:lang w:val="sr-Latn-CS" w:eastAsia="en-US"/>
              </w:rPr>
              <w:lastRenderedPageBreak/>
              <w:t xml:space="preserve">A: </w:t>
            </w:r>
            <w:r w:rsidR="00E33914">
              <w:rPr>
                <w:lang w:val="sr-Latn-RS" w:eastAsia="en-US"/>
              </w:rPr>
              <w:t xml:space="preserve">Nikodija Stojanovica </w:t>
            </w:r>
            <w:r w:rsidR="00E33914">
              <w:rPr>
                <w:lang w:val="sr-Cyrl-CS" w:eastAsia="en-US"/>
              </w:rPr>
              <w:t xml:space="preserve">2, 18400 </w:t>
            </w:r>
            <w:r w:rsidR="00E33914">
              <w:rPr>
                <w:lang w:val="sr-Latn-RS" w:eastAsia="en-US"/>
              </w:rPr>
              <w:t>Prokuplje</w:t>
            </w:r>
            <w:r w:rsidR="00F220EE" w:rsidRPr="00F02471">
              <w:rPr>
                <w:lang w:val="sr-Latn-CS" w:eastAsia="en-US"/>
              </w:rPr>
              <w:t xml:space="preserve">, </w:t>
            </w:r>
            <w:r w:rsidR="00E33914">
              <w:rPr>
                <w:lang w:val="sr-Latn-RS" w:eastAsia="en-US"/>
              </w:rPr>
              <w:t>Serbia</w:t>
            </w:r>
          </w:p>
          <w:p w14:paraId="6DBDBC6E" w14:textId="77777777" w:rsidR="00AC64B1" w:rsidRPr="00F02471" w:rsidRDefault="00AC64B1" w:rsidP="005B4BDB">
            <w:pPr>
              <w:pStyle w:val="Stext1"/>
              <w:ind w:left="0"/>
              <w:rPr>
                <w:lang w:val="sr-Cyrl-RS" w:eastAsia="en-US"/>
              </w:rPr>
            </w:pPr>
            <w:r w:rsidRPr="00F02471">
              <w:rPr>
                <w:lang w:val="sr-Latn-CS" w:eastAsia="en-US"/>
              </w:rPr>
              <w:t xml:space="preserve">W: </w:t>
            </w:r>
            <w:hyperlink r:id="rId9" w:history="1">
              <w:r w:rsidR="00D36F61" w:rsidRPr="00F02471">
                <w:rPr>
                  <w:rStyle w:val="Hyperlink"/>
                  <w:lang w:val="sr-Latn-CS" w:eastAsia="en-US"/>
                </w:rPr>
                <w:t>https://prokuplje.org.rs/</w:t>
              </w:r>
            </w:hyperlink>
          </w:p>
          <w:p w14:paraId="22F2C3F8" w14:textId="77777777" w:rsidR="00AE6605" w:rsidRPr="00F02471" w:rsidRDefault="00AE6605" w:rsidP="005B4BDB">
            <w:pPr>
              <w:pStyle w:val="Stext1"/>
              <w:ind w:left="0"/>
              <w:rPr>
                <w:lang w:val="sr-Latn-CS" w:eastAsia="en-US"/>
              </w:rPr>
            </w:pPr>
          </w:p>
          <w:p w14:paraId="5654CC3F" w14:textId="77777777" w:rsidR="0017675D" w:rsidRPr="00F02471" w:rsidRDefault="0017675D" w:rsidP="00D04E50">
            <w:pPr>
              <w:pStyle w:val="Stext1"/>
              <w:ind w:left="0"/>
              <w:rPr>
                <w:lang w:val="sr-Latn-CS" w:eastAsia="en-US"/>
              </w:rPr>
            </w:pPr>
            <w:r w:rsidRPr="00F02471">
              <w:rPr>
                <w:lang w:val="sr-Latn-CS" w:eastAsia="en-US"/>
              </w:rPr>
              <w:t xml:space="preserve">E: </w:t>
            </w:r>
            <w:r w:rsidR="00D04E50">
              <w:rPr>
                <w:rStyle w:val="Hyperlink"/>
                <w:lang w:val="sr-Cyrl-RS" w:eastAsia="en-US"/>
              </w:rPr>
              <w:t>nabavke.opstina.pk</w:t>
            </w:r>
            <w:r w:rsidR="00D36F61" w:rsidRPr="00F02471">
              <w:rPr>
                <w:rStyle w:val="Hyperlink"/>
                <w:lang w:val="sr-Cyrl-RS" w:eastAsia="en-US"/>
              </w:rPr>
              <w:t>@</w:t>
            </w:r>
            <w:r w:rsidR="00D04E50">
              <w:rPr>
                <w:rStyle w:val="Hyperlink"/>
                <w:lang w:val="sr-Latn-RS" w:eastAsia="en-US"/>
              </w:rPr>
              <w:t>gmail.com</w:t>
            </w:r>
          </w:p>
        </w:tc>
      </w:tr>
    </w:tbl>
    <w:p w14:paraId="597ED2F4" w14:textId="6C448409" w:rsidR="002F02F3" w:rsidRPr="00490760" w:rsidRDefault="00E33914" w:rsidP="005A0D5C">
      <w:pPr>
        <w:pStyle w:val="Sheading1"/>
        <w:rPr>
          <w:lang w:val="sr-Latn-CS"/>
        </w:rPr>
      </w:pPr>
      <w:r>
        <w:rPr>
          <w:lang w:val="sr-Latn-CS"/>
        </w:rPr>
        <w:t>Concession information</w:t>
      </w:r>
    </w:p>
    <w:p w14:paraId="716FD286" w14:textId="51BCDE58" w:rsidR="00254E76" w:rsidRPr="00F02471" w:rsidRDefault="00E33914" w:rsidP="00254E76">
      <w:pPr>
        <w:pStyle w:val="Sheading2"/>
        <w:rPr>
          <w:lang w:val="sr-Latn-CS"/>
        </w:rPr>
      </w:pPr>
      <w:r>
        <w:rPr>
          <w:lang w:val="sr-Latn-RS"/>
        </w:rPr>
        <w:t>Legal basis</w:t>
      </w:r>
    </w:p>
    <w:p w14:paraId="69EC507E" w14:textId="27D412DA" w:rsidR="005C37D5" w:rsidRPr="005C37D5" w:rsidRDefault="00E33914" w:rsidP="005C37D5">
      <w:pPr>
        <w:pStyle w:val="Sheading2"/>
        <w:numPr>
          <w:ilvl w:val="0"/>
          <w:numId w:val="0"/>
        </w:numPr>
        <w:ind w:left="680"/>
        <w:rPr>
          <w:lang w:val="sr-Latn-CS" w:eastAsia="zh-TW"/>
        </w:rPr>
      </w:pPr>
      <w:r>
        <w:rPr>
          <w:lang w:val="sr-Latn-CS" w:eastAsia="zh-TW"/>
        </w:rPr>
        <w:t>Article 10, paragraph 1 of the law on Public-Private partnership and concessions</w:t>
      </w:r>
      <w:r w:rsidR="005C37D5">
        <w:rPr>
          <w:lang w:val="sr-Cyrl-RS" w:eastAsia="zh-TW"/>
        </w:rPr>
        <w:t xml:space="preserve"> (</w:t>
      </w:r>
      <w:r>
        <w:rPr>
          <w:lang w:val="sr-Latn-CS" w:eastAsia="zh-TW"/>
        </w:rPr>
        <w:t xml:space="preserve">the </w:t>
      </w:r>
      <w:r w:rsidR="00936F5E">
        <w:rPr>
          <w:lang w:val="sr-Latn-CS" w:eastAsia="zh-TW"/>
        </w:rPr>
        <w:t>L</w:t>
      </w:r>
      <w:r>
        <w:rPr>
          <w:lang w:val="sr-Latn-CS" w:eastAsia="zh-TW"/>
        </w:rPr>
        <w:t xml:space="preserve">aw on </w:t>
      </w:r>
      <w:r w:rsidR="00906170">
        <w:rPr>
          <w:lang w:val="sr-Latn-CS" w:eastAsia="zh-TW"/>
        </w:rPr>
        <w:t>PPP</w:t>
      </w:r>
      <w:r w:rsidR="005C37D5">
        <w:rPr>
          <w:lang w:val="sr-Cyrl-RS" w:eastAsia="zh-TW"/>
        </w:rPr>
        <w:t>)</w:t>
      </w:r>
      <w:r w:rsidR="00906170">
        <w:rPr>
          <w:lang w:val="sr-Latn-CS" w:eastAsia="zh-TW"/>
        </w:rPr>
        <w:t xml:space="preserve"> defines a concession, related to this law</w:t>
      </w:r>
      <w:r w:rsidR="005C37D5" w:rsidRPr="005C37D5">
        <w:rPr>
          <w:lang w:val="sr-Latn-CS" w:eastAsia="zh-TW"/>
        </w:rPr>
        <w:t xml:space="preserve">, </w:t>
      </w:r>
      <w:r w:rsidR="00906170">
        <w:rPr>
          <w:lang w:val="sr-Latn-CS" w:eastAsia="zh-TW"/>
        </w:rPr>
        <w:t>as a contract of institutional  PPC with elements of concession, in which the public contract defines commercial use of natural resources</w:t>
      </w:r>
      <w:r w:rsidR="005C37D5" w:rsidRPr="005C37D5">
        <w:rPr>
          <w:lang w:val="sr-Latn-CS" w:eastAsia="zh-TW"/>
        </w:rPr>
        <w:t xml:space="preserve">, </w:t>
      </w:r>
      <w:r w:rsidR="00906170">
        <w:rPr>
          <w:lang w:val="sr-Latn-CS" w:eastAsia="zh-TW"/>
        </w:rPr>
        <w:t>goods of general use in public ownership</w:t>
      </w:r>
      <w:r w:rsidR="005C37D5" w:rsidRPr="005C37D5">
        <w:rPr>
          <w:lang w:val="sr-Latn-CS" w:eastAsia="zh-TW"/>
        </w:rPr>
        <w:t xml:space="preserve">, </w:t>
      </w:r>
      <w:r w:rsidR="00906170">
        <w:rPr>
          <w:lang w:val="sr-Latn-CS" w:eastAsia="zh-TW"/>
        </w:rPr>
        <w:t xml:space="preserve">that is, goods owned by a public body or performing activities of </w:t>
      </w:r>
      <w:r w:rsidR="006314B0">
        <w:rPr>
          <w:lang w:val="sr-Latn-CS" w:eastAsia="zh-TW"/>
        </w:rPr>
        <w:t>general interest</w:t>
      </w:r>
      <w:r w:rsidR="005C37D5" w:rsidRPr="005C37D5">
        <w:rPr>
          <w:lang w:val="sr-Latn-CS" w:eastAsia="zh-TW"/>
        </w:rPr>
        <w:t xml:space="preserve">, </w:t>
      </w:r>
      <w:r w:rsidR="006314B0">
        <w:rPr>
          <w:lang w:val="sr-Latn-CS" w:eastAsia="zh-TW"/>
        </w:rPr>
        <w:t>which a public partner concedes to a private partner, for a definite period of time, under special prescribed conditions</w:t>
      </w:r>
      <w:r w:rsidR="005C37D5" w:rsidRPr="005C37D5">
        <w:rPr>
          <w:lang w:val="sr-Latn-CS" w:eastAsia="zh-TW"/>
        </w:rPr>
        <w:t>,</w:t>
      </w:r>
      <w:r w:rsidR="006314B0">
        <w:rPr>
          <w:lang w:val="sr-Latn-CS" w:eastAsia="zh-TW"/>
        </w:rPr>
        <w:t xml:space="preserve"> with paying a concession fee by the private, that is the public partner, while the private partner bears the risk related to the commercial use of the subject of concession</w:t>
      </w:r>
      <w:r w:rsidR="005C37D5" w:rsidRPr="005C37D5">
        <w:rPr>
          <w:lang w:val="sr-Latn-CS" w:eastAsia="zh-TW"/>
        </w:rPr>
        <w:t>.</w:t>
      </w:r>
    </w:p>
    <w:p w14:paraId="29D8EEAE" w14:textId="0F7DA8F3" w:rsidR="005C37D5" w:rsidRPr="005C37D5" w:rsidRDefault="006314B0" w:rsidP="005C37D5">
      <w:pPr>
        <w:pStyle w:val="Sheading2"/>
        <w:numPr>
          <w:ilvl w:val="0"/>
          <w:numId w:val="0"/>
        </w:numPr>
        <w:ind w:left="680"/>
        <w:rPr>
          <w:lang w:val="sr-Latn-CS" w:eastAsia="zh-TW"/>
        </w:rPr>
      </w:pPr>
      <w:r>
        <w:rPr>
          <w:lang w:val="sr-Latn-CS" w:eastAsia="zh-TW"/>
        </w:rPr>
        <w:t xml:space="preserve">Article 11, paragraph 1 of the Law on PPP proposes that a concession can be given for </w:t>
      </w:r>
      <w:r w:rsidR="005C37D5" w:rsidRPr="005C37D5">
        <w:rPr>
          <w:lang w:val="sr-Latn-CS" w:eastAsia="zh-TW"/>
        </w:rPr>
        <w:t xml:space="preserve"> (а) </w:t>
      </w:r>
      <w:r>
        <w:rPr>
          <w:lang w:val="sr-Latn-CS" w:eastAsia="zh-TW"/>
        </w:rPr>
        <w:t xml:space="preserve">commercial use of the means owned by a public body or for (б) performing </w:t>
      </w:r>
      <w:r w:rsidR="00A65C0E">
        <w:rPr>
          <w:lang w:val="sr-Latn-CS" w:eastAsia="zh-TW"/>
        </w:rPr>
        <w:t>activities of general</w:t>
      </w:r>
      <w:r>
        <w:rPr>
          <w:lang w:val="sr-Latn-CS" w:eastAsia="zh-TW"/>
        </w:rPr>
        <w:t xml:space="preserve"> interest</w:t>
      </w:r>
      <w:r w:rsidR="005C37D5" w:rsidRPr="005C37D5">
        <w:rPr>
          <w:lang w:val="sr-Latn-CS" w:eastAsia="zh-TW"/>
        </w:rPr>
        <w:t xml:space="preserve">, </w:t>
      </w:r>
      <w:r w:rsidR="00A65C0E">
        <w:rPr>
          <w:lang w:val="sr-Latn-CS" w:eastAsia="zh-TW"/>
        </w:rPr>
        <w:t xml:space="preserve">and especially for a specific list of activities quoted in this article, among which are </w:t>
      </w:r>
      <w:r w:rsidR="00936F5E">
        <w:rPr>
          <w:lang w:val="sr-Latn-CS" w:eastAsia="zh-TW"/>
        </w:rPr>
        <w:t>communal activities</w:t>
      </w:r>
      <w:r w:rsidR="005C37D5" w:rsidRPr="005C37D5">
        <w:rPr>
          <w:lang w:val="sr-Latn-CS" w:eastAsia="zh-TW"/>
        </w:rPr>
        <w:t xml:space="preserve">. </w:t>
      </w:r>
    </w:p>
    <w:p w14:paraId="02495B30" w14:textId="515260ED" w:rsidR="005C37D5" w:rsidRDefault="00A65C0E" w:rsidP="005C37D5">
      <w:pPr>
        <w:pStyle w:val="Sheading2"/>
        <w:numPr>
          <w:ilvl w:val="0"/>
          <w:numId w:val="0"/>
        </w:numPr>
        <w:ind w:left="680"/>
        <w:rPr>
          <w:lang w:val="sr-Latn-CS" w:eastAsia="zh-TW"/>
        </w:rPr>
      </w:pPr>
      <w:r>
        <w:rPr>
          <w:lang w:val="sr-Latn-CS" w:eastAsia="zh-TW"/>
        </w:rPr>
        <w:t>Article 20, paragraph 3 of the Law on PPP defines that</w:t>
      </w:r>
      <w:r w:rsidR="00936F5E">
        <w:rPr>
          <w:lang w:val="sr-Latn-CS" w:eastAsia="zh-TW"/>
        </w:rPr>
        <w:t xml:space="preserve">, </w:t>
      </w:r>
      <w:r>
        <w:rPr>
          <w:lang w:val="sr-Latn-CS" w:eastAsia="zh-TW"/>
        </w:rPr>
        <w:t xml:space="preserve"> if the PPP project realization implies giving concession </w:t>
      </w:r>
      <w:r w:rsidR="00936F5E">
        <w:rPr>
          <w:lang w:val="sr-Latn-CS" w:eastAsia="zh-TW"/>
        </w:rPr>
        <w:t>from</w:t>
      </w:r>
      <w:r>
        <w:rPr>
          <w:lang w:val="sr-Latn-CS" w:eastAsia="zh-TW"/>
        </w:rPr>
        <w:t xml:space="preserve"> article 10, paragraph 1 of this law, the procedure of choosing a private partner shall be carried out in accordance with the provisions of the Law on PPP.  </w:t>
      </w:r>
    </w:p>
    <w:p w14:paraId="533BE8F9" w14:textId="5A24219A" w:rsidR="007830CF" w:rsidRPr="007830CF" w:rsidRDefault="00A65C0E" w:rsidP="007830CF">
      <w:pPr>
        <w:pStyle w:val="Stext2"/>
        <w:rPr>
          <w:lang w:val="ru-RU"/>
        </w:rPr>
      </w:pPr>
      <w:r>
        <w:rPr>
          <w:lang w:val="sr-Latn-RS"/>
        </w:rPr>
        <w:t>Article</w:t>
      </w:r>
      <w:r>
        <w:rPr>
          <w:lang w:val="ru-RU"/>
        </w:rPr>
        <w:t xml:space="preserve"> 3 of the </w:t>
      </w:r>
      <w:r w:rsidRPr="001F1197">
        <w:rPr>
          <w:b/>
          <w:lang w:val="sr-Latn-RS"/>
        </w:rPr>
        <w:t>Law on communal activities</w:t>
      </w:r>
      <w:r>
        <w:rPr>
          <w:lang w:val="sr-Latn-RS"/>
        </w:rPr>
        <w:t xml:space="preserve"> („Official gazette of RS“ issues 88/11, 104/16, and 95/18) proposes that in relation to thi</w:t>
      </w:r>
      <w:r w:rsidR="001F1197">
        <w:rPr>
          <w:lang w:val="sr-Latn-RS"/>
        </w:rPr>
        <w:t>s law, communal activities also include:</w:t>
      </w:r>
    </w:p>
    <w:p w14:paraId="4F0E1D58" w14:textId="7E8F985B" w:rsidR="001F1197" w:rsidRPr="007830CF" w:rsidRDefault="007830CF" w:rsidP="001F1197">
      <w:pPr>
        <w:pStyle w:val="Stext2"/>
        <w:rPr>
          <w:lang w:val="sr-Cyrl-CS"/>
        </w:rPr>
      </w:pPr>
      <w:r w:rsidRPr="007830CF">
        <w:rPr>
          <w:lang w:val="ru-RU"/>
        </w:rPr>
        <w:t xml:space="preserve"> </w:t>
      </w:r>
      <w:r w:rsidRPr="007830CF">
        <w:rPr>
          <w:lang w:val="ru-RU"/>
        </w:rPr>
        <w:tab/>
        <w:t xml:space="preserve">- </w:t>
      </w:r>
      <w:r w:rsidR="006F3B67">
        <w:rPr>
          <w:b/>
          <w:lang w:val="sr-Latn-RS"/>
        </w:rPr>
        <w:t>M</w:t>
      </w:r>
      <w:r w:rsidR="001F1197">
        <w:rPr>
          <w:b/>
          <w:lang w:val="sr-Cyrl-CS"/>
        </w:rPr>
        <w:t>anagement of public parking lots</w:t>
      </w:r>
      <w:r w:rsidRPr="007830CF">
        <w:rPr>
          <w:b/>
          <w:lang w:val="ru-RU"/>
        </w:rPr>
        <w:t xml:space="preserve"> </w:t>
      </w:r>
      <w:r w:rsidR="001F1197">
        <w:rPr>
          <w:lang w:val="ru-RU"/>
        </w:rPr>
        <w:t>(clause</w:t>
      </w:r>
      <w:r w:rsidRPr="007830CF">
        <w:rPr>
          <w:lang w:val="ru-RU"/>
        </w:rPr>
        <w:t xml:space="preserve"> 7)</w:t>
      </w:r>
      <w:r w:rsidR="001F1197">
        <w:rPr>
          <w:lang w:val="sr-Latn-RS"/>
        </w:rPr>
        <w:t xml:space="preserve"> </w:t>
      </w:r>
      <w:r w:rsidR="001F1197">
        <w:rPr>
          <w:lang w:val="sr-Latn-CS"/>
        </w:rPr>
        <w:t>M</w:t>
      </w:r>
      <w:r w:rsidR="001F1197" w:rsidRPr="001F1197">
        <w:rPr>
          <w:lang w:val="sr-Latn-CS"/>
        </w:rPr>
        <w:t xml:space="preserve">anagement of public parking lots is the service of maintaining public parking lots and parking spaces in marked places (closed and open spaces), organization and control of parking, collection of improperly parked, discarded or abandoned vehicles, relocation of parked vehicles under the conditions prescribed by this and another special law, installation of devices that prevent the removal of vehicles by order of the competent authority, as well as removal, relocation of vehicles and installation of devices that prevent the removal of vehicles in cases provided by a special decision of the assembly of </w:t>
      </w:r>
      <w:r w:rsidR="000256EF">
        <w:rPr>
          <w:lang w:val="sr-Latn-CS"/>
        </w:rPr>
        <w:t xml:space="preserve">the </w:t>
      </w:r>
      <w:r w:rsidR="001F1197" w:rsidRPr="001F1197">
        <w:rPr>
          <w:lang w:val="sr-Latn-CS"/>
        </w:rPr>
        <w:t>local self-government. as well as charging for these services;</w:t>
      </w:r>
    </w:p>
    <w:p w14:paraId="72D4A37F" w14:textId="440AE18B" w:rsidR="001F1197" w:rsidRPr="007830CF" w:rsidRDefault="007830CF" w:rsidP="006F3B67">
      <w:pPr>
        <w:pStyle w:val="Stext2"/>
        <w:rPr>
          <w:lang w:val="sr-Cyrl-CS"/>
        </w:rPr>
      </w:pPr>
      <w:r w:rsidRPr="007830CF">
        <w:rPr>
          <w:lang w:val="sr-Cyrl-CS"/>
        </w:rPr>
        <w:tab/>
      </w:r>
      <w:r w:rsidR="006F3B67">
        <w:rPr>
          <w:lang w:val="sr-Latn-RS"/>
        </w:rPr>
        <w:t xml:space="preserve">- </w:t>
      </w:r>
      <w:r w:rsidR="006F3B67" w:rsidRPr="006F3B67">
        <w:rPr>
          <w:b/>
          <w:lang w:val="sr-Latn-CS"/>
        </w:rPr>
        <w:t>Market management</w:t>
      </w:r>
      <w:r w:rsidR="006F3B67" w:rsidRPr="006F3B67">
        <w:rPr>
          <w:lang w:val="sr-Latn-CS"/>
        </w:rPr>
        <w:t xml:space="preserve"> </w:t>
      </w:r>
      <w:r w:rsidR="006F3B67">
        <w:rPr>
          <w:lang w:val="sr-Latn-CS"/>
        </w:rPr>
        <w:t>(</w:t>
      </w:r>
      <w:r w:rsidR="000256EF">
        <w:rPr>
          <w:lang w:val="sr-Latn-CS"/>
        </w:rPr>
        <w:t>clause</w:t>
      </w:r>
      <w:r w:rsidR="006F3B67">
        <w:rPr>
          <w:lang w:val="sr-Latn-CS"/>
        </w:rPr>
        <w:t xml:space="preserve"> 9) Market management </w:t>
      </w:r>
      <w:r w:rsidR="006F3B67" w:rsidRPr="006F3B67">
        <w:rPr>
          <w:lang w:val="sr-Latn-CS"/>
        </w:rPr>
        <w:t xml:space="preserve">is communal equipment, maintenance of facilities </w:t>
      </w:r>
      <w:r w:rsidR="000256EF">
        <w:rPr>
          <w:lang w:val="sr-Latn-CS"/>
        </w:rPr>
        <w:t>i</w:t>
      </w:r>
      <w:r w:rsidR="006F3B67" w:rsidRPr="006F3B67">
        <w:rPr>
          <w:lang w:val="sr-Latn-CS"/>
        </w:rPr>
        <w:t xml:space="preserve">n markets (market business space, including kiosks and open-air stalls), leasing of stalls </w:t>
      </w:r>
      <w:r w:rsidR="000256EF">
        <w:rPr>
          <w:lang w:val="sr-Latn-CS"/>
        </w:rPr>
        <w:t>i</w:t>
      </w:r>
      <w:r w:rsidR="006F3B67" w:rsidRPr="006F3B67">
        <w:rPr>
          <w:lang w:val="sr-Latn-CS"/>
        </w:rPr>
        <w:t>n markets and organization of activities in closed and open spaces intended for agricultural and food trade. and other products;</w:t>
      </w:r>
    </w:p>
    <w:p w14:paraId="70B289DC" w14:textId="4AC51B5A" w:rsidR="007830CF" w:rsidRDefault="007830CF" w:rsidP="007830CF">
      <w:pPr>
        <w:pStyle w:val="Stext2"/>
        <w:rPr>
          <w:lang w:val="sr-Cyrl-CS"/>
        </w:rPr>
      </w:pPr>
    </w:p>
    <w:p w14:paraId="0C5FBF4D" w14:textId="691D1EA8" w:rsidR="007830CF" w:rsidRDefault="006F3B67" w:rsidP="006F3B67">
      <w:pPr>
        <w:pStyle w:val="Stext2"/>
        <w:rPr>
          <w:lang w:val="sr-Cyrl-CS"/>
        </w:rPr>
      </w:pPr>
      <w:r>
        <w:rPr>
          <w:lang w:val="sr-Latn-CS"/>
        </w:rPr>
        <w:lastRenderedPageBreak/>
        <w:t xml:space="preserve">- </w:t>
      </w:r>
      <w:r w:rsidRPr="006F3B67">
        <w:rPr>
          <w:b/>
          <w:lang w:val="sr-Latn-CS"/>
        </w:rPr>
        <w:t>Maintenance of cleanliness in public areas</w:t>
      </w:r>
      <w:r>
        <w:rPr>
          <w:lang w:val="sr-Latn-CS"/>
        </w:rPr>
        <w:t xml:space="preserve"> (</w:t>
      </w:r>
      <w:r w:rsidR="000256EF">
        <w:rPr>
          <w:lang w:val="sr-Latn-CS"/>
        </w:rPr>
        <w:t>clause</w:t>
      </w:r>
      <w:r>
        <w:rPr>
          <w:lang w:val="sr-Latn-CS"/>
        </w:rPr>
        <w:t xml:space="preserve"> 11) Maintenance of cleanliness in public areas</w:t>
      </w:r>
      <w:r w:rsidRPr="006F3B67">
        <w:rPr>
          <w:lang w:val="sr-Latn-CS"/>
        </w:rPr>
        <w:t xml:space="preserve"> is cleaning and washing of asphalted, concrete, paved and other public areas, collection and removal of municipal waste from those areas, maintenance an</w:t>
      </w:r>
      <w:r>
        <w:rPr>
          <w:lang w:val="sr-Latn-CS"/>
        </w:rPr>
        <w:t>d emptying of waste containers i</w:t>
      </w:r>
      <w:r w:rsidRPr="006F3B67">
        <w:rPr>
          <w:lang w:val="sr-Latn-CS"/>
        </w:rPr>
        <w:t>n public areas, as well as maintenance of public fountains, wells, fountains, </w:t>
      </w:r>
      <w:r>
        <w:rPr>
          <w:lang w:val="sr-Latn-CS"/>
        </w:rPr>
        <w:t>baths, beaches and toilets as communal facilities;</w:t>
      </w:r>
    </w:p>
    <w:p w14:paraId="00A0568A" w14:textId="228996A4" w:rsidR="006F3B67" w:rsidRPr="007830CF" w:rsidRDefault="006F3B67" w:rsidP="007830CF">
      <w:pPr>
        <w:pStyle w:val="Stext2"/>
        <w:rPr>
          <w:lang w:val="sr-Cyrl-CS"/>
        </w:rPr>
      </w:pPr>
      <w:r>
        <w:rPr>
          <w:lang w:val="sr-Latn-CS"/>
        </w:rPr>
        <w:t xml:space="preserve">- </w:t>
      </w:r>
      <w:r w:rsidRPr="006F3B67">
        <w:rPr>
          <w:b/>
          <w:lang w:val="sr-Latn-CS"/>
        </w:rPr>
        <w:t>Maintenance of public green areas</w:t>
      </w:r>
      <w:r>
        <w:rPr>
          <w:lang w:val="sr-Latn-CS"/>
        </w:rPr>
        <w:t xml:space="preserve"> (point 12) Maintenance of public green areas</w:t>
      </w:r>
      <w:r w:rsidRPr="006F3B67">
        <w:rPr>
          <w:lang w:val="sr-Latn-CS"/>
        </w:rPr>
        <w:t xml:space="preserve"> is arrangement, current and investment maintenance, reconstruction and rehabilitation of green, recreational areas and coastal areas;</w:t>
      </w:r>
    </w:p>
    <w:p w14:paraId="5D864D6B" w14:textId="72D5DDDF" w:rsidR="006F3B67" w:rsidRPr="006F3B67" w:rsidRDefault="006F3B67" w:rsidP="006F3B67">
      <w:pPr>
        <w:pStyle w:val="Stext2"/>
        <w:rPr>
          <w:lang w:val="en-US"/>
        </w:rPr>
      </w:pPr>
      <w:r>
        <w:rPr>
          <w:lang w:val="en-US"/>
        </w:rPr>
        <w:t xml:space="preserve">Article 9, paragraph 7 of the </w:t>
      </w:r>
      <w:r w:rsidRPr="007713CE">
        <w:rPr>
          <w:b/>
          <w:lang w:val="en-US"/>
        </w:rPr>
        <w:t>Law on communal activities</w:t>
      </w:r>
      <w:r>
        <w:rPr>
          <w:lang w:val="en-US"/>
        </w:rPr>
        <w:t xml:space="preserve"> (“Official gazette of the RS”, is</w:t>
      </w:r>
      <w:r w:rsidR="007713CE">
        <w:rPr>
          <w:lang w:val="en-US"/>
        </w:rPr>
        <w:t>s</w:t>
      </w:r>
      <w:r>
        <w:rPr>
          <w:lang w:val="en-US"/>
        </w:rPr>
        <w:t>ues 88/11, 104/16, and 95/18)</w:t>
      </w:r>
      <w:r w:rsidR="00C83C1B">
        <w:rPr>
          <w:lang w:val="en-US"/>
        </w:rPr>
        <w:t xml:space="preserve"> </w:t>
      </w:r>
      <w:r w:rsidR="007713CE">
        <w:rPr>
          <w:lang w:val="en-US"/>
        </w:rPr>
        <w:t>proposes that t</w:t>
      </w:r>
      <w:r w:rsidRPr="006F3B67">
        <w:rPr>
          <w:lang w:val="en-US"/>
        </w:rPr>
        <w:t>he provisions of the law governing public-private partnerships and concessions shall apply to the procedure of entrusting the performance of communal activities whose financing is provided from the budget of th</w:t>
      </w:r>
      <w:r w:rsidR="007713CE">
        <w:rPr>
          <w:lang w:val="en-US"/>
        </w:rPr>
        <w:t xml:space="preserve">e local self-government unit, that is, </w:t>
      </w:r>
      <w:r w:rsidRPr="006F3B67">
        <w:rPr>
          <w:lang w:val="en-US"/>
        </w:rPr>
        <w:t>whose financing is provided in full or in part by collecting fees from communal service users.</w:t>
      </w:r>
    </w:p>
    <w:p w14:paraId="16143E06" w14:textId="77777777" w:rsidR="006F3B67" w:rsidRPr="007830CF" w:rsidRDefault="006F3B67" w:rsidP="007830CF">
      <w:pPr>
        <w:pStyle w:val="Stext2"/>
        <w:rPr>
          <w:lang w:val="ru-RU"/>
        </w:rPr>
      </w:pPr>
    </w:p>
    <w:p w14:paraId="747AA9D3" w14:textId="77777777" w:rsidR="005C37D5" w:rsidRPr="005C37D5" w:rsidRDefault="005C37D5" w:rsidP="005C37D5">
      <w:pPr>
        <w:pStyle w:val="Stext2"/>
        <w:rPr>
          <w:lang w:val="sr-Latn-CS"/>
        </w:rPr>
      </w:pPr>
    </w:p>
    <w:p w14:paraId="20D2031C" w14:textId="30508A7B" w:rsidR="002F02F3" w:rsidRDefault="007713CE" w:rsidP="005A0D5C">
      <w:pPr>
        <w:pStyle w:val="Sheading2"/>
      </w:pPr>
      <w:r>
        <w:t>The subject of concession/ Nature and scope of concession activity</w:t>
      </w:r>
    </w:p>
    <w:p w14:paraId="0039FFCB" w14:textId="4C297C69" w:rsidR="005C37D5" w:rsidRDefault="007713CE" w:rsidP="007713CE">
      <w:pPr>
        <w:pStyle w:val="Stext2"/>
        <w:ind w:left="0"/>
        <w:rPr>
          <w:lang w:val="sr-Latn-RS"/>
        </w:rPr>
      </w:pPr>
      <w:r>
        <w:rPr>
          <w:lang w:val="sr-Cyrl-CS"/>
        </w:rPr>
        <w:t xml:space="preserve">  </w:t>
      </w:r>
      <w:r>
        <w:rPr>
          <w:lang w:val="sr-Latn-RS"/>
        </w:rPr>
        <w:t xml:space="preserve">The subject of concession is financing, management and performing communal activities related to parking lots, city cleanliness, open markets and urban green spaces in the </w:t>
      </w:r>
      <w:r w:rsidR="0002507D">
        <w:rPr>
          <w:lang w:val="sr-Latn-RS"/>
        </w:rPr>
        <w:t>C</w:t>
      </w:r>
      <w:r>
        <w:rPr>
          <w:lang w:val="sr-Latn-RS"/>
        </w:rPr>
        <w:t xml:space="preserve">ity of </w:t>
      </w:r>
      <w:r w:rsidR="0002507D">
        <w:rPr>
          <w:lang w:val="sr-Latn-RS"/>
        </w:rPr>
        <w:t>P</w:t>
      </w:r>
      <w:r>
        <w:rPr>
          <w:lang w:val="sr-Latn-RS"/>
        </w:rPr>
        <w:t>rokuplje, which are currently performed by the „Hammemum“ Prokuplje public utility company.</w:t>
      </w:r>
    </w:p>
    <w:p w14:paraId="682B8106" w14:textId="3015702E" w:rsidR="007713CE" w:rsidRPr="007713CE" w:rsidRDefault="007713CE" w:rsidP="007713CE">
      <w:pPr>
        <w:pStyle w:val="Stext2"/>
        <w:rPr>
          <w:lang w:val="sr-Latn-RS"/>
        </w:rPr>
      </w:pPr>
      <w:r>
        <w:rPr>
          <w:lang w:val="sr-Latn-RS"/>
        </w:rPr>
        <w:t>The object of the awarded concession by the city of Prokuplje shall be performing four communal activities:</w:t>
      </w:r>
    </w:p>
    <w:p w14:paraId="4C16AEBD" w14:textId="5C3A4CEF" w:rsidR="005C37D5" w:rsidRDefault="005C37D5" w:rsidP="007713CE">
      <w:pPr>
        <w:pStyle w:val="Sheading2"/>
        <w:numPr>
          <w:ilvl w:val="0"/>
          <w:numId w:val="0"/>
        </w:numPr>
        <w:ind w:left="680" w:hanging="680"/>
        <w:rPr>
          <w:lang w:val="sr-Cyrl-CS" w:eastAsia="zh-TW"/>
        </w:rPr>
      </w:pPr>
    </w:p>
    <w:p w14:paraId="1D3A7802" w14:textId="181C89A9" w:rsidR="005C37D5" w:rsidRPr="00C94DE6" w:rsidRDefault="007713CE" w:rsidP="00C94DE6">
      <w:pPr>
        <w:pStyle w:val="Stext2"/>
        <w:numPr>
          <w:ilvl w:val="0"/>
          <w:numId w:val="31"/>
        </w:numPr>
        <w:rPr>
          <w:lang w:val="sr-Latn-RS"/>
        </w:rPr>
      </w:pPr>
      <w:r>
        <w:rPr>
          <w:lang w:val="sr-Latn-RS"/>
        </w:rPr>
        <w:t>management, and maintenance of parking lots and charging the parking for up to 360 parking spots;</w:t>
      </w:r>
    </w:p>
    <w:p w14:paraId="25FD19F7" w14:textId="0CB889F4" w:rsidR="007713CE" w:rsidRPr="007713CE" w:rsidRDefault="007713CE" w:rsidP="007713CE">
      <w:pPr>
        <w:pStyle w:val="Stext2"/>
        <w:numPr>
          <w:ilvl w:val="0"/>
          <w:numId w:val="31"/>
        </w:numPr>
        <w:rPr>
          <w:lang w:val="sr-Latn-RS"/>
        </w:rPr>
      </w:pPr>
      <w:r>
        <w:rPr>
          <w:lang w:val="sr-Latn-RS"/>
        </w:rPr>
        <w:t>managament and charging of the use of up to 120 market stalls from the beginning of the concession period up to no later than the end of the first year of the PPP Contract (when the old market shall be closed), when</w:t>
      </w:r>
      <w:r w:rsidR="00C94DE6">
        <w:rPr>
          <w:lang w:val="sr-Latn-RS"/>
        </w:rPr>
        <w:t xml:space="preserve"> 165 market stalls in the new market shall be made available to</w:t>
      </w:r>
      <w:r>
        <w:rPr>
          <w:lang w:val="sr-Latn-RS"/>
        </w:rPr>
        <w:t xml:space="preserve"> the concessionaire</w:t>
      </w:r>
      <w:r w:rsidR="00C94DE6">
        <w:rPr>
          <w:lang w:val="sr-Latn-RS"/>
        </w:rPr>
        <w:t xml:space="preserve"> to manage, maintain, and charge, as well as other services related to the city open market operation which shall no longer be managed by HAMMEUM Public utility company. </w:t>
      </w:r>
      <w:r>
        <w:rPr>
          <w:lang w:val="sr-Latn-RS"/>
        </w:rPr>
        <w:t xml:space="preserve"> </w:t>
      </w:r>
    </w:p>
    <w:p w14:paraId="671AA371" w14:textId="576B6D6D" w:rsidR="005C37D5" w:rsidRDefault="00C94DE6" w:rsidP="00F21066">
      <w:pPr>
        <w:pStyle w:val="Sheading2"/>
        <w:numPr>
          <w:ilvl w:val="0"/>
          <w:numId w:val="31"/>
        </w:numPr>
        <w:ind w:left="1260"/>
        <w:rPr>
          <w:lang w:val="sr-Cyrl-CS" w:eastAsia="zh-TW"/>
        </w:rPr>
      </w:pPr>
      <w:r>
        <w:rPr>
          <w:lang w:val="sr-Latn-RS" w:eastAsia="zh-TW"/>
        </w:rPr>
        <w:lastRenderedPageBreak/>
        <w:t>the complete service of cleaning and washing the streets and public areas in the city of Prokuplje</w:t>
      </w:r>
      <w:r w:rsidR="005C37D5" w:rsidRPr="005C37D5">
        <w:rPr>
          <w:lang w:val="sr-Cyrl-CS" w:eastAsia="zh-TW"/>
        </w:rPr>
        <w:t xml:space="preserve">; </w:t>
      </w:r>
    </w:p>
    <w:p w14:paraId="03FD012B" w14:textId="55EB7073" w:rsidR="00245DDD" w:rsidRDefault="00C94DE6" w:rsidP="00F21066">
      <w:pPr>
        <w:pStyle w:val="Sheading2"/>
        <w:numPr>
          <w:ilvl w:val="0"/>
          <w:numId w:val="31"/>
        </w:numPr>
        <w:ind w:left="1260"/>
        <w:rPr>
          <w:lang w:val="sr-Latn-CS" w:eastAsia="zh-TW"/>
        </w:rPr>
      </w:pPr>
      <w:r>
        <w:rPr>
          <w:lang w:val="sr-Cyrl-CS" w:eastAsia="zh-TW"/>
        </w:rPr>
        <w:t xml:space="preserve">the complete service of </w:t>
      </w:r>
      <w:r>
        <w:rPr>
          <w:lang w:val="sr-Latn-RS" w:eastAsia="zh-TW"/>
        </w:rPr>
        <w:t>arrangement, maintenance and protection of urban green areas in the city of Prokuplje.</w:t>
      </w:r>
    </w:p>
    <w:p w14:paraId="1C227D4E" w14:textId="7124CF59" w:rsidR="00F21066" w:rsidRPr="00F21066" w:rsidRDefault="00C94DE6" w:rsidP="00F21066">
      <w:pPr>
        <w:pStyle w:val="Sheading2"/>
        <w:rPr>
          <w:lang w:val="sr-Cyrl-RS" w:eastAsia="zh-TW"/>
        </w:rPr>
      </w:pPr>
      <w:r>
        <w:rPr>
          <w:lang w:val="sr-Latn-RS"/>
        </w:rPr>
        <w:t>The relationship with HAMMEUM Public utility company</w:t>
      </w:r>
    </w:p>
    <w:p w14:paraId="722DD307" w14:textId="2A3E7E8A" w:rsidR="00F21066" w:rsidRPr="00F21066" w:rsidRDefault="00ED39F4" w:rsidP="00F21066">
      <w:pPr>
        <w:pStyle w:val="Sheading3"/>
        <w:rPr>
          <w:lang w:val="sr-Cyrl-RS" w:eastAsia="zh-TW"/>
        </w:rPr>
      </w:pPr>
      <w:r>
        <w:rPr>
          <w:lang w:val="sr-Latn-RS" w:eastAsia="zh-TW"/>
        </w:rPr>
        <w:t xml:space="preserve"> Cancelling the entrusted activities </w:t>
      </w:r>
    </w:p>
    <w:p w14:paraId="6305AE80" w14:textId="420FEF45" w:rsidR="00F21066" w:rsidRDefault="00ED39F4" w:rsidP="00F21066">
      <w:pPr>
        <w:pStyle w:val="Sheading2"/>
        <w:numPr>
          <w:ilvl w:val="0"/>
          <w:numId w:val="0"/>
        </w:numPr>
        <w:ind w:left="680"/>
        <w:rPr>
          <w:lang w:val="sr-Cyrl-RS" w:eastAsia="zh-TW"/>
        </w:rPr>
      </w:pPr>
      <w:r>
        <w:rPr>
          <w:lang w:val="sr-Latn-RS" w:eastAsia="zh-TW"/>
        </w:rPr>
        <w:t>Cancelling the entrusted activities to the HAMMEUM Public utility company shall be carried out via status changes to the separation and founding (in accordance with the Prokuplje assembly decision on carrying out a statute change of separation and founding over the HAMMEUM Public utility company dated February 18, 2021), in the following manner: communal activities shall be entrused to</w:t>
      </w:r>
      <w:r w:rsidR="00D46C9E">
        <w:rPr>
          <w:lang w:val="sr-Latn-RS" w:eastAsia="zh-TW"/>
        </w:rPr>
        <w:t xml:space="preserve"> the newly founded public utility company for performing communal activities related to water supply, funeral services and graveyard maintenance, as well as </w:t>
      </w:r>
      <w:r w:rsidR="00D46C9E" w:rsidRPr="00D46C9E">
        <w:rPr>
          <w:lang w:val="sr-Latn-CS" w:eastAsia="zh-TW"/>
        </w:rPr>
        <w:t>purification and drainage of atmospheric and wastewater</w:t>
      </w:r>
      <w:r w:rsidR="00F21066" w:rsidRPr="00F21066">
        <w:rPr>
          <w:lang w:val="sr-Cyrl-RS" w:eastAsia="zh-TW"/>
        </w:rPr>
        <w:t xml:space="preserve">, </w:t>
      </w:r>
      <w:r w:rsidR="00D46C9E">
        <w:rPr>
          <w:lang w:val="sr-Latn-RS" w:eastAsia="zh-TW"/>
        </w:rPr>
        <w:t xml:space="preserve">while communal activities related to parking, city cleanliness, urban green areas, and open markets shall be entrusted to the concessionaire based on this procedure of awarding the concession, the contract on concession, and the decision of the </w:t>
      </w:r>
      <w:r w:rsidR="0002507D">
        <w:rPr>
          <w:lang w:val="sr-Latn-RS" w:eastAsia="zh-TW"/>
        </w:rPr>
        <w:t>C</w:t>
      </w:r>
      <w:r w:rsidR="00D46C9E">
        <w:rPr>
          <w:lang w:val="sr-Latn-RS" w:eastAsia="zh-TW"/>
        </w:rPr>
        <w:t>ity assem</w:t>
      </w:r>
      <w:r w:rsidR="0002507D">
        <w:rPr>
          <w:lang w:val="sr-Latn-RS" w:eastAsia="zh-TW"/>
        </w:rPr>
        <w:t>b</w:t>
      </w:r>
      <w:r w:rsidR="00D46C9E">
        <w:rPr>
          <w:lang w:val="sr-Latn-RS" w:eastAsia="zh-TW"/>
        </w:rPr>
        <w:t>ly on entrusting the performance of communal activities to the concessionaire</w:t>
      </w:r>
      <w:r w:rsidR="00F21066" w:rsidRPr="00F21066">
        <w:rPr>
          <w:lang w:val="sr-Cyrl-RS" w:eastAsia="zh-TW"/>
        </w:rPr>
        <w:t>.</w:t>
      </w:r>
    </w:p>
    <w:p w14:paraId="6C04412F" w14:textId="51A8BA35" w:rsidR="00F21066" w:rsidRPr="00F21066" w:rsidRDefault="00D46C9E" w:rsidP="00F21066">
      <w:pPr>
        <w:pStyle w:val="Sheading3"/>
        <w:rPr>
          <w:lang w:val="sr-Cyrl-RS"/>
        </w:rPr>
      </w:pPr>
      <w:r>
        <w:rPr>
          <w:lang w:val="sr-Latn-RS"/>
        </w:rPr>
        <w:t>The right to the assets used by HAMMEUM Public utility company</w:t>
      </w:r>
    </w:p>
    <w:p w14:paraId="7A459C5C" w14:textId="3C847F14" w:rsidR="00F21066" w:rsidRPr="00F21066" w:rsidRDefault="00D46C9E" w:rsidP="00F21066">
      <w:pPr>
        <w:pStyle w:val="Stext2"/>
        <w:rPr>
          <w:lang w:val="sr-Cyrl-RS" w:eastAsia="en-US"/>
        </w:rPr>
      </w:pPr>
      <w:r>
        <w:rPr>
          <w:lang w:val="sr-Latn-RS" w:eastAsia="en-US"/>
        </w:rPr>
        <w:t>Since in accordance with the current plans and structure, the equipment and mechanization are owned by the HAMMEUM PUC</w:t>
      </w:r>
      <w:r>
        <w:rPr>
          <w:lang w:val="sr-Cyrl-RS" w:eastAsia="en-US"/>
        </w:rPr>
        <w:t xml:space="preserve">, it shall probably be </w:t>
      </w:r>
      <w:r>
        <w:rPr>
          <w:lang w:val="sr-Latn-RS" w:eastAsia="en-US"/>
        </w:rPr>
        <w:t>spent, written off, or similar, in the statuts changes of separation with founding, bearing in mind that it shall not be made available to the future concessionaire.</w:t>
      </w:r>
      <w:r>
        <w:rPr>
          <w:lang w:val="sr-Cyrl-RS" w:eastAsia="en-US"/>
        </w:rPr>
        <w:t xml:space="preserve"> The </w:t>
      </w:r>
      <w:r>
        <w:rPr>
          <w:lang w:val="sr-Latn-RS" w:eastAsia="en-US"/>
        </w:rPr>
        <w:t xml:space="preserve">concessionaire shall be obliged to have at the concessionaire’s disposal </w:t>
      </w:r>
      <w:r w:rsidR="005F571F">
        <w:rPr>
          <w:lang w:val="sr-Latn-RS" w:eastAsia="en-US"/>
        </w:rPr>
        <w:t>immovable and movable property necessary to perform the entrusted four communal activities, either via lease, or ownership over the assets, that is, objects necessary for operation.</w:t>
      </w:r>
      <w:r w:rsidR="005F571F">
        <w:rPr>
          <w:lang w:val="sr-Cyrl-RS" w:eastAsia="en-US"/>
        </w:rPr>
        <w:t xml:space="preserve"> </w:t>
      </w:r>
    </w:p>
    <w:p w14:paraId="5B8C7207" w14:textId="51FAD606" w:rsidR="00D73E1E" w:rsidRPr="00F02471" w:rsidRDefault="005F571F" w:rsidP="00F21066">
      <w:pPr>
        <w:pStyle w:val="Sheading2"/>
        <w:rPr>
          <w:lang w:val="sr-Latn-CS"/>
        </w:rPr>
      </w:pPr>
      <w:r>
        <w:t>The place of Concession</w:t>
      </w:r>
    </w:p>
    <w:p w14:paraId="725B2B8D" w14:textId="4915EB06" w:rsidR="005F571F" w:rsidRDefault="00D73E1E" w:rsidP="005F571F">
      <w:pPr>
        <w:pStyle w:val="Sheading1"/>
        <w:numPr>
          <w:ilvl w:val="0"/>
          <w:numId w:val="0"/>
        </w:numPr>
        <w:rPr>
          <w:b w:val="0"/>
          <w:lang w:val="sr-Latn-RS"/>
        </w:rPr>
      </w:pPr>
      <w:r w:rsidRPr="00F02471">
        <w:tab/>
      </w:r>
      <w:r w:rsidR="005F571F">
        <w:rPr>
          <w:b w:val="0"/>
        </w:rPr>
        <w:t>T</w:t>
      </w:r>
      <w:r w:rsidR="005F571F">
        <w:rPr>
          <w:b w:val="0"/>
          <w:lang w:val="sr-Latn-RS"/>
        </w:rPr>
        <w:t xml:space="preserve">he place of concession activity proposed with the Concession is the territory of the </w:t>
      </w:r>
      <w:r w:rsidR="0002507D">
        <w:rPr>
          <w:b w:val="0"/>
          <w:lang w:val="sr-Latn-RS"/>
        </w:rPr>
        <w:t>C</w:t>
      </w:r>
      <w:r w:rsidR="005F571F">
        <w:rPr>
          <w:b w:val="0"/>
          <w:lang w:val="sr-Latn-RS"/>
        </w:rPr>
        <w:t xml:space="preserve">ity </w:t>
      </w:r>
    </w:p>
    <w:p w14:paraId="55646CFA" w14:textId="7B8C5EE6" w:rsidR="005F571F" w:rsidRPr="005F571F" w:rsidRDefault="005F571F" w:rsidP="005F571F">
      <w:pPr>
        <w:pStyle w:val="Sheading1"/>
        <w:numPr>
          <w:ilvl w:val="0"/>
          <w:numId w:val="0"/>
        </w:numPr>
        <w:rPr>
          <w:b w:val="0"/>
          <w:lang w:val="sr-Latn-RS"/>
        </w:rPr>
      </w:pPr>
      <w:r>
        <w:rPr>
          <w:b w:val="0"/>
          <w:lang w:val="sr-Latn-RS"/>
        </w:rPr>
        <w:t xml:space="preserve">          </w:t>
      </w:r>
      <w:r w:rsidR="0002507D">
        <w:rPr>
          <w:b w:val="0"/>
          <w:lang w:val="sr-Latn-RS"/>
        </w:rPr>
        <w:t>o</w:t>
      </w:r>
      <w:r>
        <w:rPr>
          <w:b w:val="0"/>
          <w:lang w:val="sr-Latn-RS"/>
        </w:rPr>
        <w:t xml:space="preserve">f Prokuplje.                    </w:t>
      </w:r>
    </w:p>
    <w:p w14:paraId="1F230C9F" w14:textId="05A53A12" w:rsidR="009C2F09" w:rsidRPr="00F02471" w:rsidRDefault="005F571F" w:rsidP="005A0D5C">
      <w:pPr>
        <w:pStyle w:val="Sheading2"/>
        <w:rPr>
          <w:lang w:val="sr-Latn-CS"/>
        </w:rPr>
      </w:pPr>
      <w:bookmarkStart w:id="1" w:name="_Toc494823554"/>
      <w:r>
        <w:rPr>
          <w:lang w:val="sr-Latn-CS"/>
        </w:rPr>
        <w:t>The kind of the Concession and the procedure of the concession award</w:t>
      </w:r>
    </w:p>
    <w:p w14:paraId="1EA7E7E3" w14:textId="5E2FAFAB" w:rsidR="009C2F09" w:rsidRPr="00F02471" w:rsidRDefault="005F571F" w:rsidP="005A0D5C">
      <w:pPr>
        <w:pStyle w:val="Stext1"/>
        <w:rPr>
          <w:lang w:val="sr-Latn-CS"/>
        </w:rPr>
      </w:pPr>
      <w:r>
        <w:rPr>
          <w:lang w:val="sr-Latn-CS"/>
        </w:rPr>
        <w:t>The procedure of the concession award is carried out pursuant to article 20, paragraph 3 and related to article 10 paragraph 1, and in accordance with articles 35 to 41 of the Law on concessions, as a concession for performing communal activities of general interest, whose subject is financing, management, and performing communal activities related to parking lots, city cleanliness, city open markets and urban green areas in the city of Prokuplje.</w:t>
      </w:r>
    </w:p>
    <w:p w14:paraId="2A77A4D1" w14:textId="08502D08" w:rsidR="009C2F09" w:rsidRPr="00F02471" w:rsidRDefault="005F571F" w:rsidP="005A0D5C">
      <w:pPr>
        <w:pStyle w:val="Stext1"/>
        <w:rPr>
          <w:lang w:val="sr-Latn-CS"/>
        </w:rPr>
      </w:pPr>
      <w:r>
        <w:rPr>
          <w:lang w:val="sr-Latn-CS"/>
        </w:rPr>
        <w:t>The concession shall not be awarded in phases.</w:t>
      </w:r>
    </w:p>
    <w:bookmarkEnd w:id="1"/>
    <w:p w14:paraId="4AFAA5FD" w14:textId="7F72BE67" w:rsidR="009C2F09" w:rsidRPr="00F02471" w:rsidRDefault="005F571F" w:rsidP="005A0D5C">
      <w:pPr>
        <w:pStyle w:val="Stext1"/>
        <w:rPr>
          <w:lang w:val="sr-Latn-CS"/>
        </w:rPr>
      </w:pPr>
      <w:r>
        <w:rPr>
          <w:lang w:val="sr-Latn-CS"/>
        </w:rPr>
        <w:t>The concession award procedure shall be carried out without the prequalification.</w:t>
      </w:r>
    </w:p>
    <w:p w14:paraId="0CBEC05E" w14:textId="662AB92E" w:rsidR="00E871BE" w:rsidRPr="00F02471" w:rsidRDefault="005F571F" w:rsidP="005A0D5C">
      <w:pPr>
        <w:pStyle w:val="Sheading2"/>
        <w:rPr>
          <w:lang w:val="sr-Latn-CS"/>
        </w:rPr>
      </w:pPr>
      <w:r>
        <w:rPr>
          <w:lang w:val="sr-Latn-CS"/>
        </w:rPr>
        <w:lastRenderedPageBreak/>
        <w:t>Concession fee</w:t>
      </w:r>
    </w:p>
    <w:p w14:paraId="0CE68761" w14:textId="730614EB" w:rsidR="00476710" w:rsidRPr="00F02471" w:rsidRDefault="005F571F" w:rsidP="005A0D5C">
      <w:pPr>
        <w:pStyle w:val="Stext2"/>
        <w:rPr>
          <w:lang w:val="sr-Latn-CS"/>
        </w:rPr>
      </w:pPr>
      <w:r>
        <w:rPr>
          <w:lang w:val="sr-Latn-CS"/>
        </w:rPr>
        <w:t xml:space="preserve">The concession fee shall be paid by the Concessionaire to the </w:t>
      </w:r>
      <w:r w:rsidR="0002507D">
        <w:rPr>
          <w:lang w:val="sr-Latn-CS"/>
        </w:rPr>
        <w:t>C</w:t>
      </w:r>
      <w:r>
        <w:rPr>
          <w:lang w:val="sr-Latn-CS"/>
        </w:rPr>
        <w:t>ity in accordance with the dynamic defined with the concession</w:t>
      </w:r>
      <w:r w:rsidR="0002507D">
        <w:rPr>
          <w:lang w:val="sr-Latn-CS"/>
        </w:rPr>
        <w:t xml:space="preserve"> agreement</w:t>
      </w:r>
      <w:r>
        <w:rPr>
          <w:lang w:val="sr-Latn-CS"/>
        </w:rPr>
        <w:t>. The minimal annual concession fee shall amoun</w:t>
      </w:r>
      <w:r w:rsidR="005A0D5C">
        <w:rPr>
          <w:lang w:val="sr-Latn-CS"/>
        </w:rPr>
        <w:t>t to</w:t>
      </w:r>
      <w:r>
        <w:rPr>
          <w:lang w:val="sr-Latn-CS"/>
        </w:rPr>
        <w:t xml:space="preserve"> RSD 500,00.00</w:t>
      </w:r>
      <w:r w:rsidR="005A0D5C">
        <w:rPr>
          <w:lang w:val="sr-Latn-CS"/>
        </w:rPr>
        <w:t>. T</w:t>
      </w:r>
      <w:r>
        <w:rPr>
          <w:lang w:val="sr-Latn-CS"/>
        </w:rPr>
        <w:t>he concession fee („</w:t>
      </w:r>
      <w:r w:rsidRPr="005A0D5C">
        <w:rPr>
          <w:b/>
          <w:lang w:val="sr-Latn-CS"/>
        </w:rPr>
        <w:t>Concession fee</w:t>
      </w:r>
      <w:r>
        <w:rPr>
          <w:lang w:val="sr-Latn-CS"/>
        </w:rPr>
        <w:t xml:space="preserve">“) shall be paid annually in the period from the first to the fifteenth year of </w:t>
      </w:r>
      <w:r w:rsidR="005A0D5C">
        <w:rPr>
          <w:lang w:val="sr-Latn-CS"/>
        </w:rPr>
        <w:t xml:space="preserve">the </w:t>
      </w:r>
      <w:r>
        <w:rPr>
          <w:lang w:val="sr-Latn-CS"/>
        </w:rPr>
        <w:t>concession period, and it sh</w:t>
      </w:r>
      <w:r w:rsidR="005A0D5C">
        <w:rPr>
          <w:lang w:val="sr-Latn-CS"/>
        </w:rPr>
        <w:t>a</w:t>
      </w:r>
      <w:r>
        <w:rPr>
          <w:lang w:val="sr-Latn-CS"/>
        </w:rPr>
        <w:t>ll be indexed with the consumer price index, as defin</w:t>
      </w:r>
      <w:r w:rsidR="005A0D5C">
        <w:rPr>
          <w:lang w:val="sr-Latn-CS"/>
        </w:rPr>
        <w:t>e</w:t>
      </w:r>
      <w:r>
        <w:rPr>
          <w:lang w:val="sr-Latn-CS"/>
        </w:rPr>
        <w:t>d to more detail in Section 4.2 of the Public call („</w:t>
      </w:r>
      <w:r w:rsidRPr="005A0D5C">
        <w:rPr>
          <w:b/>
          <w:lang w:val="sr-Latn-CS"/>
        </w:rPr>
        <w:t>Annual concession fee</w:t>
      </w:r>
      <w:r>
        <w:rPr>
          <w:lang w:val="sr-Latn-CS"/>
        </w:rPr>
        <w:t>“)</w:t>
      </w:r>
    </w:p>
    <w:p w14:paraId="02E454AE" w14:textId="5F4E71C1" w:rsidR="00E871BE" w:rsidRPr="00F02471" w:rsidRDefault="005A0D5C" w:rsidP="005A0D5C">
      <w:pPr>
        <w:pStyle w:val="Sheading2"/>
        <w:rPr>
          <w:lang w:val="sr-Latn-CS"/>
        </w:rPr>
      </w:pPr>
      <w:r>
        <w:rPr>
          <w:lang w:val="sr-Latn-CS"/>
        </w:rPr>
        <w:t>The term of the concession</w:t>
      </w:r>
    </w:p>
    <w:p w14:paraId="0C9152C8" w14:textId="24E2F692" w:rsidR="00E871BE" w:rsidRPr="00F02471" w:rsidRDefault="005A0D5C" w:rsidP="005A0D5C">
      <w:pPr>
        <w:pStyle w:val="Stext2"/>
        <w:rPr>
          <w:lang w:val="sr-Latn-CS"/>
        </w:rPr>
      </w:pPr>
      <w:r>
        <w:rPr>
          <w:lang w:val="sr-Latn-CS"/>
        </w:rPr>
        <w:t>The term of the concession shall be 15 years, starting from coming into force of the Concession</w:t>
      </w:r>
      <w:r w:rsidR="0002507D">
        <w:rPr>
          <w:lang w:val="sr-Latn-CS"/>
        </w:rPr>
        <w:t xml:space="preserve"> agreement</w:t>
      </w:r>
      <w:r>
        <w:rPr>
          <w:lang w:val="sr-Latn-CS"/>
        </w:rPr>
        <w:t xml:space="preserve"> („</w:t>
      </w:r>
      <w:r w:rsidRPr="005A0D5C">
        <w:rPr>
          <w:b/>
          <w:lang w:val="sr-Latn-CS"/>
        </w:rPr>
        <w:t>The term of the concession</w:t>
      </w:r>
      <w:r>
        <w:rPr>
          <w:lang w:val="sr-Latn-CS"/>
        </w:rPr>
        <w:t>“)</w:t>
      </w:r>
    </w:p>
    <w:p w14:paraId="3E2185A5" w14:textId="270A1FC2" w:rsidR="00E871BE" w:rsidRPr="00F02471" w:rsidRDefault="005A0D5C" w:rsidP="005A0D5C">
      <w:pPr>
        <w:pStyle w:val="Sheading1"/>
        <w:rPr>
          <w:lang w:val="sr-Latn-CS"/>
        </w:rPr>
      </w:pPr>
      <w:r>
        <w:rPr>
          <w:lang w:val="sr-Latn-CS"/>
        </w:rPr>
        <w:t>Participation in the concession award procedure</w:t>
      </w:r>
    </w:p>
    <w:p w14:paraId="2710E440" w14:textId="0800B254" w:rsidR="00E871BE" w:rsidRPr="00F02471" w:rsidRDefault="005A0D5C" w:rsidP="005A0D5C">
      <w:pPr>
        <w:pStyle w:val="Sheading2"/>
        <w:rPr>
          <w:lang w:val="sr-Latn-CS"/>
        </w:rPr>
      </w:pPr>
      <w:r>
        <w:rPr>
          <w:lang w:val="sr-Latn-CS"/>
        </w:rPr>
        <w:t>Obtaining the concession documentaion</w:t>
      </w:r>
    </w:p>
    <w:p w14:paraId="4E112339" w14:textId="744E9F81" w:rsidR="00E871BE" w:rsidRPr="00F02471" w:rsidRDefault="005A0D5C" w:rsidP="005A0D5C">
      <w:pPr>
        <w:pStyle w:val="Stext2"/>
        <w:rPr>
          <w:lang w:val="sr-Latn-RS"/>
        </w:rPr>
      </w:pPr>
      <w:r>
        <w:rPr>
          <w:lang w:val="sr-Latn-CS"/>
        </w:rPr>
        <w:t>Each interested person who fulfills the conditions proposed with this section 3</w:t>
      </w:r>
      <w:r w:rsidR="0002507D">
        <w:rPr>
          <w:lang w:val="sr-Latn-CS"/>
        </w:rPr>
        <w:t>.</w:t>
      </w:r>
      <w:r>
        <w:rPr>
          <w:lang w:val="sr-Latn-CS"/>
        </w:rPr>
        <w:t xml:space="preserve">1 and section 3.2 can participate in the Concession award procedure and obtain </w:t>
      </w:r>
      <w:r w:rsidR="00025C77">
        <w:rPr>
          <w:lang w:val="sr-Latn-CS"/>
        </w:rPr>
        <w:t>tender documentation („</w:t>
      </w:r>
      <w:r w:rsidR="00025C77" w:rsidRPr="00025C77">
        <w:rPr>
          <w:b/>
          <w:lang w:val="sr-Latn-CS"/>
        </w:rPr>
        <w:t>Tender documentation</w:t>
      </w:r>
      <w:r w:rsidR="00025C77">
        <w:rPr>
          <w:lang w:val="sr-Latn-CS"/>
        </w:rPr>
        <w:t>“). The group of bidders, that is, a consortium, can participate in the Concession award procedure pursuan</w:t>
      </w:r>
      <w:r w:rsidR="0002507D">
        <w:rPr>
          <w:lang w:val="sr-Latn-CS"/>
        </w:rPr>
        <w:t>t</w:t>
      </w:r>
      <w:r w:rsidR="00025C77">
        <w:rPr>
          <w:lang w:val="sr-Latn-CS"/>
        </w:rPr>
        <w:t xml:space="preserve"> to the conditions proposed with</w:t>
      </w:r>
      <w:r w:rsidR="0002507D">
        <w:rPr>
          <w:lang w:val="sr-Latn-CS"/>
        </w:rPr>
        <w:t xml:space="preserve"> </w:t>
      </w:r>
      <w:r w:rsidR="00025C77">
        <w:rPr>
          <w:lang w:val="sr-Latn-CS"/>
        </w:rPr>
        <w:t xml:space="preserve">the Tender documentation and the </w:t>
      </w:r>
      <w:r w:rsidR="00063EDF">
        <w:rPr>
          <w:lang w:val="sr-Latn-CS"/>
        </w:rPr>
        <w:t>L</w:t>
      </w:r>
      <w:r w:rsidR="00025C77">
        <w:rPr>
          <w:lang w:val="sr-Latn-CS"/>
        </w:rPr>
        <w:t>aw on concessions.</w:t>
      </w:r>
    </w:p>
    <w:p w14:paraId="02810F7D" w14:textId="271B556F" w:rsidR="00E871BE" w:rsidRPr="00F02471" w:rsidRDefault="00025C77" w:rsidP="005A0D5C">
      <w:pPr>
        <w:pStyle w:val="Stext2"/>
        <w:rPr>
          <w:lang w:val="sr-Latn-CS"/>
        </w:rPr>
      </w:pPr>
      <w:r>
        <w:rPr>
          <w:lang w:val="sr-Latn-CS"/>
        </w:rPr>
        <w:t>The fee for obtaining the Tender documentation shall not be charged.</w:t>
      </w:r>
    </w:p>
    <w:p w14:paraId="2C3BD05B" w14:textId="0EC1F048" w:rsidR="00493E29" w:rsidRPr="00F02471" w:rsidRDefault="00025C77" w:rsidP="005A0D5C">
      <w:pPr>
        <w:pStyle w:val="Stext2"/>
        <w:rPr>
          <w:lang w:val="sr-Latn-CS"/>
        </w:rPr>
      </w:pPr>
      <w:r>
        <w:rPr>
          <w:lang w:val="sr-Latn-CS"/>
        </w:rPr>
        <w:t>The request to obtain Tender documentation („</w:t>
      </w:r>
      <w:r w:rsidRPr="00025C77">
        <w:rPr>
          <w:b/>
          <w:lang w:val="sr-Latn-CS"/>
        </w:rPr>
        <w:t>Request for Tender documentation</w:t>
      </w:r>
      <w:r>
        <w:rPr>
          <w:lang w:val="sr-Latn-CS"/>
        </w:rPr>
        <w:t>“)</w:t>
      </w:r>
      <w:r w:rsidR="0002507D">
        <w:rPr>
          <w:lang w:val="sr-Latn-CS"/>
        </w:rPr>
        <w:t xml:space="preserve"> </w:t>
      </w:r>
      <w:r>
        <w:rPr>
          <w:lang w:val="sr-Latn-CS"/>
        </w:rPr>
        <w:t>is to be submitted to the City</w:t>
      </w:r>
      <w:r w:rsidR="00201B76">
        <w:rPr>
          <w:lang w:val="sr-Latn-CS"/>
        </w:rPr>
        <w:t xml:space="preserve"> before the last 40th day of the day of announcing in the „Official gazette</w:t>
      </w:r>
      <w:r w:rsidR="00CF4239">
        <w:rPr>
          <w:lang w:val="sr-Cyrl-RS"/>
        </w:rPr>
        <w:t xml:space="preserve"> </w:t>
      </w:r>
      <w:r w:rsidR="00CF4239">
        <w:rPr>
          <w:lang w:val="sr-Latn-RS"/>
        </w:rPr>
        <w:t>RS</w:t>
      </w:r>
      <w:r w:rsidR="00201B76">
        <w:rPr>
          <w:lang w:val="sr-Latn-CS"/>
        </w:rPr>
        <w:t>“,</w:t>
      </w:r>
      <w:r>
        <w:rPr>
          <w:lang w:val="sr-Latn-CS"/>
        </w:rPr>
        <w:t xml:space="preserve"> </w:t>
      </w:r>
      <w:r w:rsidRPr="00025C77">
        <w:rPr>
          <w:b/>
          <w:lang w:val="sr-Latn-CS"/>
        </w:rPr>
        <w:t>not later than</w:t>
      </w:r>
      <w:r>
        <w:rPr>
          <w:b/>
          <w:lang w:val="sr-Latn-CS"/>
        </w:rPr>
        <w:t xml:space="preserve"> </w:t>
      </w:r>
      <w:r w:rsidRPr="00025C77">
        <w:rPr>
          <w:b/>
          <w:lang w:val="sr-Latn-CS"/>
        </w:rPr>
        <w:t xml:space="preserve">12:00 p.m. </w:t>
      </w:r>
      <w:r>
        <w:rPr>
          <w:lang w:val="sr-Latn-CS"/>
        </w:rPr>
        <w:t>, to the address given in Section 1, through certified mail with a return receipt</w:t>
      </w:r>
      <w:r w:rsidR="0002507D">
        <w:rPr>
          <w:lang w:val="sr-Latn-CS"/>
        </w:rPr>
        <w:t>,</w:t>
      </w:r>
      <w:r>
        <w:rPr>
          <w:lang w:val="sr-Latn-CS"/>
        </w:rPr>
        <w:t xml:space="preserve"> or via </w:t>
      </w:r>
      <w:r w:rsidR="0002507D">
        <w:rPr>
          <w:lang w:val="sr-Latn-CS"/>
        </w:rPr>
        <w:t xml:space="preserve">an </w:t>
      </w:r>
      <w:r>
        <w:rPr>
          <w:lang w:val="sr-Latn-CS"/>
        </w:rPr>
        <w:t xml:space="preserve">e-mail. </w:t>
      </w:r>
    </w:p>
    <w:p w14:paraId="0DB4F168" w14:textId="78786F83" w:rsidR="00493E29" w:rsidRPr="00F02471" w:rsidRDefault="007E0F06" w:rsidP="005A0D5C">
      <w:pPr>
        <w:pStyle w:val="Stext2"/>
        <w:rPr>
          <w:lang w:val="sr-Latn-CS"/>
        </w:rPr>
      </w:pPr>
      <w:r>
        <w:rPr>
          <w:lang w:val="sr-Latn-CS"/>
        </w:rPr>
        <w:t>With the request for the Tender documentation, each interested p</w:t>
      </w:r>
      <w:r w:rsidR="0002507D">
        <w:rPr>
          <w:lang w:val="sr-Latn-CS"/>
        </w:rPr>
        <w:t>arty</w:t>
      </w:r>
      <w:r>
        <w:rPr>
          <w:lang w:val="sr-Latn-CS"/>
        </w:rPr>
        <w:t xml:space="preserve"> has to submit the following:</w:t>
      </w:r>
    </w:p>
    <w:p w14:paraId="719DCBB0" w14:textId="7F74E748" w:rsidR="00493E29" w:rsidRPr="00F02471" w:rsidRDefault="007E0F06" w:rsidP="00D0028D">
      <w:pPr>
        <w:pStyle w:val="Stext2"/>
        <w:numPr>
          <w:ilvl w:val="0"/>
          <w:numId w:val="25"/>
        </w:numPr>
        <w:rPr>
          <w:lang w:val="sr-Latn-CS"/>
        </w:rPr>
      </w:pPr>
      <w:r>
        <w:rPr>
          <w:lang w:val="sr-Latn-CS"/>
        </w:rPr>
        <w:t>An appropriately signed copy of the contract on confidentiality; and</w:t>
      </w:r>
    </w:p>
    <w:p w14:paraId="4D9C25E2" w14:textId="0F088C4A" w:rsidR="00493E29" w:rsidRPr="00F02471" w:rsidRDefault="007E0F06" w:rsidP="00D0028D">
      <w:pPr>
        <w:pStyle w:val="Stext2"/>
        <w:numPr>
          <w:ilvl w:val="0"/>
          <w:numId w:val="25"/>
        </w:numPr>
        <w:rPr>
          <w:lang w:val="sr-Latn-CS"/>
        </w:rPr>
      </w:pPr>
      <w:r>
        <w:rPr>
          <w:lang w:val="sr-Latn-CS"/>
        </w:rPr>
        <w:t>An official certificate issued by the competent business registry, not older than 30 days from the day before the day of submitting a request for the Tender documentation, which confirms that the contract of confidentiality signatory is authorized for such representation of an interested p</w:t>
      </w:r>
      <w:r w:rsidR="00F67CA7">
        <w:rPr>
          <w:lang w:val="sr-Latn-CS"/>
        </w:rPr>
        <w:t>arty</w:t>
      </w:r>
      <w:r>
        <w:rPr>
          <w:lang w:val="sr-Latn-CS"/>
        </w:rPr>
        <w:t>, or</w:t>
      </w:r>
      <w:r w:rsidR="00893D77">
        <w:rPr>
          <w:lang w:val="sr-Latn-CS"/>
        </w:rPr>
        <w:t xml:space="preserve"> the original of a appropriately signed and certified authorization, in case the contract of confidentiality is signed by the person who is not a legal representative of the i</w:t>
      </w:r>
      <w:r w:rsidR="00F67CA7">
        <w:rPr>
          <w:lang w:val="sr-Latn-CS"/>
        </w:rPr>
        <w:t>n</w:t>
      </w:r>
      <w:r w:rsidR="00893D77">
        <w:rPr>
          <w:lang w:val="sr-Latn-CS"/>
        </w:rPr>
        <w:t>terested p</w:t>
      </w:r>
      <w:r w:rsidR="00F67CA7">
        <w:rPr>
          <w:lang w:val="sr-Latn-CS"/>
        </w:rPr>
        <w:t>arty</w:t>
      </w:r>
      <w:r w:rsidR="00893D77">
        <w:rPr>
          <w:lang w:val="sr-Latn-CS"/>
        </w:rPr>
        <w:t xml:space="preserve"> submitting a request for the tender documentation.</w:t>
      </w:r>
      <w:r>
        <w:rPr>
          <w:lang w:val="sr-Latn-CS"/>
        </w:rPr>
        <w:t xml:space="preserve"> </w:t>
      </w:r>
      <w:r w:rsidR="00893D77">
        <w:rPr>
          <w:lang w:val="sr-Latn-CS"/>
        </w:rPr>
        <w:t>In case that any of these documents has not been issued in Serbian language, a certified translation by a court interpreter in the Republic of Serbia has to be enclosed with the relevant document original.</w:t>
      </w:r>
    </w:p>
    <w:p w14:paraId="7A662E2F" w14:textId="28C9EE43" w:rsidR="00493E29" w:rsidRPr="00F02471" w:rsidRDefault="00893D77" w:rsidP="005A0D5C">
      <w:pPr>
        <w:pStyle w:val="Stext2"/>
        <w:rPr>
          <w:lang w:val="sr-Latn-CS"/>
        </w:rPr>
      </w:pPr>
      <w:r>
        <w:rPr>
          <w:lang w:val="sr-Latn-CS"/>
        </w:rPr>
        <w:t>The request for the Tender documentation has to contain the address and the e-mail address of the interested p</w:t>
      </w:r>
      <w:r w:rsidR="00F67CA7">
        <w:rPr>
          <w:lang w:val="sr-Latn-CS"/>
        </w:rPr>
        <w:t>arty</w:t>
      </w:r>
      <w:r>
        <w:rPr>
          <w:lang w:val="sr-Latn-CS"/>
        </w:rPr>
        <w:t xml:space="preserve"> to which the Tender documentation is to be delivered.</w:t>
      </w:r>
    </w:p>
    <w:p w14:paraId="3D06AE2C" w14:textId="2CA2B812" w:rsidR="00493E29" w:rsidRPr="00F02471" w:rsidRDefault="00893D77" w:rsidP="005A0D5C">
      <w:pPr>
        <w:pStyle w:val="Stext2"/>
        <w:rPr>
          <w:lang w:val="sr-Latn-CS"/>
        </w:rPr>
      </w:pPr>
      <w:r>
        <w:rPr>
          <w:lang w:val="sr-Latn-CS"/>
        </w:rPr>
        <w:t>O</w:t>
      </w:r>
      <w:r w:rsidR="00E72358">
        <w:rPr>
          <w:lang w:val="sr-Latn-CS"/>
        </w:rPr>
        <w:t>nly</w:t>
      </w:r>
      <w:r>
        <w:rPr>
          <w:lang w:val="sr-Latn-CS"/>
        </w:rPr>
        <w:t xml:space="preserve"> the request for the Tender documentation which fulfills the conditions quoted in the section 3.1 shall be considered regular</w:t>
      </w:r>
      <w:r w:rsidR="00E72358">
        <w:rPr>
          <w:lang w:val="sr-Latn-CS"/>
        </w:rPr>
        <w:t xml:space="preserve"> and complete, and enable the interested p</w:t>
      </w:r>
      <w:r w:rsidR="00F67CA7">
        <w:rPr>
          <w:lang w:val="sr-Latn-CS"/>
        </w:rPr>
        <w:t>arty</w:t>
      </w:r>
      <w:r w:rsidR="00E72358">
        <w:rPr>
          <w:lang w:val="sr-Latn-CS"/>
        </w:rPr>
        <w:t xml:space="preserve"> to obtain the Tender documentation.</w:t>
      </w:r>
    </w:p>
    <w:p w14:paraId="44549371" w14:textId="1BEB1BE2" w:rsidR="00493E29" w:rsidRPr="00F02471" w:rsidRDefault="00E72358" w:rsidP="005A0D5C">
      <w:pPr>
        <w:pStyle w:val="Sheading2"/>
        <w:rPr>
          <w:lang w:val="sr-Latn-CS"/>
        </w:rPr>
      </w:pPr>
      <w:r>
        <w:rPr>
          <w:lang w:val="sr-Latn-CS"/>
        </w:rPr>
        <w:lastRenderedPageBreak/>
        <w:t>Conditions for participation in the C</w:t>
      </w:r>
      <w:r w:rsidR="00833866">
        <w:rPr>
          <w:lang w:val="sr-Latn-CS"/>
        </w:rPr>
        <w:t>oncession award procedure</w:t>
      </w:r>
    </w:p>
    <w:p w14:paraId="7BA93E7F" w14:textId="15FA6072" w:rsidR="00493E29" w:rsidRPr="00F02471" w:rsidRDefault="00833866" w:rsidP="005A0D5C">
      <w:pPr>
        <w:pStyle w:val="Sheading3"/>
        <w:rPr>
          <w:lang w:val="sr-Latn-CS"/>
        </w:rPr>
      </w:pPr>
      <w:r>
        <w:rPr>
          <w:lang w:val="sr-Latn-CS"/>
        </w:rPr>
        <w:t>Obligatory conditions for participation</w:t>
      </w:r>
    </w:p>
    <w:p w14:paraId="26CF9649" w14:textId="2E34C249" w:rsidR="00493E29" w:rsidRPr="00F02471" w:rsidRDefault="00833866" w:rsidP="005A0D5C">
      <w:pPr>
        <w:pStyle w:val="Stext3"/>
        <w:rPr>
          <w:lang w:val="sr-Latn-CS"/>
        </w:rPr>
      </w:pPr>
      <w:r>
        <w:rPr>
          <w:lang w:val="sr-Latn-CS"/>
        </w:rPr>
        <w:t>Each bidder has to prove that:</w:t>
      </w:r>
    </w:p>
    <w:p w14:paraId="04C523A6" w14:textId="64688CE3" w:rsidR="00493E29" w:rsidRPr="00F02471" w:rsidRDefault="00833866" w:rsidP="00D0028D">
      <w:pPr>
        <w:pStyle w:val="Stext3"/>
        <w:numPr>
          <w:ilvl w:val="0"/>
          <w:numId w:val="26"/>
        </w:numPr>
        <w:rPr>
          <w:lang w:val="sr-Latn-CS"/>
        </w:rPr>
      </w:pPr>
      <w:r>
        <w:rPr>
          <w:lang w:val="sr-Latn-CS"/>
        </w:rPr>
        <w:t>It is an active legal entity, entered in the competent business registry in the country of origins;</w:t>
      </w:r>
    </w:p>
    <w:p w14:paraId="19F54277" w14:textId="490014FA" w:rsidR="00493E29" w:rsidRPr="00F02471" w:rsidRDefault="00833866" w:rsidP="00D0028D">
      <w:pPr>
        <w:pStyle w:val="Stext3"/>
        <w:numPr>
          <w:ilvl w:val="0"/>
          <w:numId w:val="26"/>
        </w:numPr>
        <w:rPr>
          <w:lang w:val="sr-Latn-CS"/>
        </w:rPr>
      </w:pPr>
      <w:r>
        <w:rPr>
          <w:lang w:val="sr-Latn-CS"/>
        </w:rPr>
        <w:t xml:space="preserve">The bidder and its legal representatives have not been convicted of a crime as members of an organized criminal group, that </w:t>
      </w:r>
      <w:r w:rsidR="00C83C1B">
        <w:rPr>
          <w:lang w:val="sr-Latn-CS"/>
        </w:rPr>
        <w:t>they have not been convicted of</w:t>
      </w:r>
      <w:r>
        <w:rPr>
          <w:lang w:val="sr-Latn-CS"/>
        </w:rPr>
        <w:t xml:space="preserve"> commiting a felony against economy, felony against the environment, giving or taking bribe</w:t>
      </w:r>
      <w:r w:rsidR="00C83C1B">
        <w:rPr>
          <w:lang w:val="sr-Latn-CS"/>
        </w:rPr>
        <w:t>,</w:t>
      </w:r>
      <w:r>
        <w:rPr>
          <w:lang w:val="sr-Latn-CS"/>
        </w:rPr>
        <w:t xml:space="preserve"> or a fraud;</w:t>
      </w:r>
    </w:p>
    <w:p w14:paraId="71039AAE" w14:textId="43729E20" w:rsidR="00493E29" w:rsidRPr="00F02471" w:rsidRDefault="00CF67DF" w:rsidP="00D0028D">
      <w:pPr>
        <w:pStyle w:val="Stext3"/>
        <w:numPr>
          <w:ilvl w:val="0"/>
          <w:numId w:val="26"/>
        </w:numPr>
        <w:rPr>
          <w:lang w:val="sr-Latn-CS"/>
        </w:rPr>
      </w:pPr>
      <w:r>
        <w:rPr>
          <w:lang w:val="sr-Latn-CS"/>
        </w:rPr>
        <w:t xml:space="preserve">Has paid its due taxes, contributions, and other public duties in accordance with the regulations of the Republic of Serbia or other country of origins; </w:t>
      </w:r>
    </w:p>
    <w:p w14:paraId="3252020B" w14:textId="75DB75BE" w:rsidR="00493E29" w:rsidRPr="00F02471" w:rsidRDefault="00CF67DF" w:rsidP="00D0028D">
      <w:pPr>
        <w:pStyle w:val="Stext3"/>
        <w:numPr>
          <w:ilvl w:val="0"/>
          <w:numId w:val="26"/>
        </w:numPr>
        <w:rPr>
          <w:lang w:val="sr-Latn-CS"/>
        </w:rPr>
      </w:pPr>
      <w:r>
        <w:rPr>
          <w:lang w:val="sr-Latn-CS"/>
        </w:rPr>
        <w:t>Respects obligations resulting from the valid regulations on the</w:t>
      </w:r>
      <w:r w:rsidR="00F67CA7">
        <w:rPr>
          <w:lang w:val="sr-Latn-CS"/>
        </w:rPr>
        <w:t xml:space="preserve"> occupational </w:t>
      </w:r>
      <w:r>
        <w:rPr>
          <w:lang w:val="sr-Latn-CS"/>
        </w:rPr>
        <w:t>sa</w:t>
      </w:r>
      <w:r w:rsidR="00F67CA7">
        <w:rPr>
          <w:lang w:val="sr-Latn-CS"/>
        </w:rPr>
        <w:t>fety</w:t>
      </w:r>
      <w:r>
        <w:rPr>
          <w:lang w:val="sr-Latn-CS"/>
        </w:rPr>
        <w:t xml:space="preserve">, employment and working conditions, environment protection, and that it has no prohibition to perform its activity which is in power at the time of the submission of a bid. </w:t>
      </w:r>
    </w:p>
    <w:p w14:paraId="0F252B27" w14:textId="102B849C" w:rsidR="00493E29" w:rsidRPr="00F02471" w:rsidRDefault="00F67CA7" w:rsidP="005A0D5C">
      <w:pPr>
        <w:pStyle w:val="Stext3"/>
        <w:rPr>
          <w:lang w:val="sr-Latn-CS"/>
        </w:rPr>
      </w:pPr>
      <w:r>
        <w:rPr>
          <w:lang w:val="sr-Latn-CS"/>
        </w:rPr>
        <w:t xml:space="preserve">The </w:t>
      </w:r>
      <w:r w:rsidR="00E542A1">
        <w:rPr>
          <w:lang w:val="sr-Latn-CS"/>
        </w:rPr>
        <w:t>proof</w:t>
      </w:r>
      <w:r w:rsidR="00CF67DF">
        <w:rPr>
          <w:lang w:val="sr-Latn-CS"/>
        </w:rPr>
        <w:t xml:space="preserve"> of</w:t>
      </w:r>
      <w:r w:rsidR="009F09AF">
        <w:rPr>
          <w:lang w:val="sr-Latn-CS"/>
        </w:rPr>
        <w:t xml:space="preserve"> eligibility to participate ha</w:t>
      </w:r>
      <w:r w:rsidR="00E542A1">
        <w:rPr>
          <w:lang w:val="sr-Latn-CS"/>
        </w:rPr>
        <w:t>s</w:t>
      </w:r>
      <w:r w:rsidR="00CF67DF">
        <w:rPr>
          <w:lang w:val="sr-Latn-CS"/>
        </w:rPr>
        <w:t xml:space="preserve"> been </w:t>
      </w:r>
      <w:r w:rsidR="009F09AF">
        <w:rPr>
          <w:lang w:val="sr-Latn-CS"/>
        </w:rPr>
        <w:t>prescribed in detail in Appendix 2 to this Public call.</w:t>
      </w:r>
    </w:p>
    <w:p w14:paraId="1FF531C4" w14:textId="0471696E" w:rsidR="00493E29" w:rsidRPr="00F02471" w:rsidRDefault="009F09AF" w:rsidP="005A0D5C">
      <w:pPr>
        <w:pStyle w:val="Sheading3"/>
        <w:rPr>
          <w:lang w:val="sr-Latn-CS"/>
        </w:rPr>
      </w:pPr>
      <w:r>
        <w:rPr>
          <w:lang w:val="sr-Latn-CS"/>
        </w:rPr>
        <w:t>Additional conditions for participation, that is, qualification conditions</w:t>
      </w:r>
    </w:p>
    <w:p w14:paraId="1C82E154" w14:textId="61D7AB61" w:rsidR="00F8350C" w:rsidRPr="00F02471" w:rsidRDefault="009F09AF" w:rsidP="005A0D5C">
      <w:pPr>
        <w:pStyle w:val="Stext3"/>
        <w:rPr>
          <w:lang w:val="sr-Latn-CS" w:eastAsia="en-US"/>
        </w:rPr>
      </w:pPr>
      <w:r>
        <w:rPr>
          <w:lang w:val="sr-Latn-CS" w:eastAsia="en-US"/>
        </w:rPr>
        <w:t>Each bidder has to meet the following qualification conditions</w:t>
      </w:r>
      <w:r w:rsidR="00493E29" w:rsidRPr="00F02471">
        <w:rPr>
          <w:lang w:val="sr-Latn-CS" w:eastAsia="en-US"/>
        </w:rPr>
        <w:t>:</w:t>
      </w:r>
    </w:p>
    <w:p w14:paraId="640B2509" w14:textId="60EF27E4" w:rsidR="00F8350C" w:rsidRPr="00F8350C" w:rsidRDefault="009F09AF" w:rsidP="00F8350C">
      <w:pPr>
        <w:pStyle w:val="ListParagraph"/>
        <w:numPr>
          <w:ilvl w:val="0"/>
          <w:numId w:val="35"/>
        </w:numPr>
        <w:spacing w:after="160" w:line="259" w:lineRule="auto"/>
        <w:ind w:left="540" w:firstLine="540"/>
        <w:jc w:val="both"/>
        <w:rPr>
          <w:rFonts w:ascii="Verdana" w:hAnsi="Verdana"/>
          <w:b/>
          <w:sz w:val="20"/>
          <w:szCs w:val="20"/>
          <w:lang w:val="sr-Latn-RS"/>
        </w:rPr>
      </w:pPr>
      <w:r>
        <w:rPr>
          <w:rFonts w:ascii="Verdana" w:hAnsi="Verdana"/>
          <w:b/>
          <w:sz w:val="20"/>
          <w:szCs w:val="20"/>
          <w:lang w:val="sr-Latn-RS"/>
        </w:rPr>
        <w:t>Business capacity</w:t>
      </w:r>
    </w:p>
    <w:p w14:paraId="1A98BC17" w14:textId="2DD186BB" w:rsidR="00F8350C" w:rsidRPr="00F8350C" w:rsidRDefault="009F09AF" w:rsidP="00F8350C">
      <w:pPr>
        <w:numPr>
          <w:ilvl w:val="0"/>
          <w:numId w:val="34"/>
        </w:numPr>
        <w:spacing w:after="160" w:line="259" w:lineRule="auto"/>
        <w:contextualSpacing/>
        <w:rPr>
          <w:rFonts w:ascii="Verdana" w:eastAsia="Calibri" w:hAnsi="Verdana"/>
          <w:sz w:val="20"/>
          <w:szCs w:val="20"/>
          <w:lang w:val="sr-Latn-RS"/>
        </w:rPr>
      </w:pPr>
      <w:r>
        <w:rPr>
          <w:rFonts w:ascii="Verdana" w:eastAsia="Calibri" w:hAnsi="Verdana"/>
          <w:sz w:val="20"/>
          <w:szCs w:val="20"/>
          <w:lang w:val="sr-Latn-RS"/>
        </w:rPr>
        <w:t>The Bidder has been performing or has performed at least two of the four activities which are to be entrusted, for a minumum of one year.</w:t>
      </w:r>
    </w:p>
    <w:p w14:paraId="70746E75" w14:textId="06F14558" w:rsidR="00F8350C" w:rsidRPr="00F8350C" w:rsidRDefault="00E6508D" w:rsidP="00F8350C">
      <w:pPr>
        <w:numPr>
          <w:ilvl w:val="0"/>
          <w:numId w:val="34"/>
        </w:numPr>
        <w:spacing w:after="160" w:line="259" w:lineRule="auto"/>
        <w:contextualSpacing/>
        <w:rPr>
          <w:rFonts w:ascii="Verdana" w:eastAsia="Calibri" w:hAnsi="Verdana"/>
          <w:sz w:val="20"/>
          <w:szCs w:val="20"/>
          <w:lang w:val="sr-Latn-RS"/>
        </w:rPr>
      </w:pPr>
      <w:r>
        <w:rPr>
          <w:rFonts w:ascii="Verdana" w:eastAsia="Calibri" w:hAnsi="Verdana"/>
          <w:sz w:val="20"/>
          <w:szCs w:val="20"/>
          <w:lang w:val="sr-Latn-RS"/>
        </w:rPr>
        <w:t>The Bidder has been operating at least 15 years in the Republic of Serbia</w:t>
      </w:r>
    </w:p>
    <w:p w14:paraId="3DBE6FDF" w14:textId="77777777" w:rsidR="00F8350C" w:rsidRPr="00F8350C" w:rsidRDefault="00F8350C" w:rsidP="00F8350C">
      <w:pPr>
        <w:spacing w:after="160" w:line="259" w:lineRule="auto"/>
        <w:ind w:left="720"/>
        <w:contextualSpacing/>
        <w:rPr>
          <w:rFonts w:ascii="Verdana" w:eastAsia="Calibri" w:hAnsi="Verdana"/>
          <w:sz w:val="20"/>
          <w:szCs w:val="20"/>
          <w:lang w:val="sr-Latn-RS"/>
        </w:rPr>
      </w:pPr>
    </w:p>
    <w:p w14:paraId="4DD6911B" w14:textId="401F930A" w:rsidR="00F8350C" w:rsidRPr="00F8350C" w:rsidRDefault="00E6508D" w:rsidP="00F8350C">
      <w:pPr>
        <w:pStyle w:val="ListParagraph"/>
        <w:numPr>
          <w:ilvl w:val="0"/>
          <w:numId w:val="35"/>
        </w:numPr>
        <w:spacing w:after="160" w:line="259" w:lineRule="auto"/>
        <w:jc w:val="both"/>
        <w:rPr>
          <w:rFonts w:ascii="Verdana" w:hAnsi="Verdana"/>
          <w:b/>
          <w:sz w:val="20"/>
          <w:szCs w:val="20"/>
          <w:lang w:val="sr-Latn-RS"/>
        </w:rPr>
      </w:pPr>
      <w:r>
        <w:rPr>
          <w:rFonts w:ascii="Verdana" w:hAnsi="Verdana"/>
          <w:b/>
          <w:sz w:val="20"/>
          <w:szCs w:val="20"/>
          <w:lang w:val="sr-Latn-RS"/>
        </w:rPr>
        <w:t>Human resource capacity</w:t>
      </w:r>
    </w:p>
    <w:p w14:paraId="3B89A382" w14:textId="16C06A5D" w:rsidR="00F8350C" w:rsidRPr="00F8350C" w:rsidRDefault="00E6508D" w:rsidP="00F8350C">
      <w:pPr>
        <w:numPr>
          <w:ilvl w:val="0"/>
          <w:numId w:val="34"/>
        </w:numPr>
        <w:spacing w:after="160" w:line="259" w:lineRule="auto"/>
        <w:contextualSpacing/>
        <w:rPr>
          <w:rFonts w:ascii="Verdana" w:eastAsia="Calibri" w:hAnsi="Verdana"/>
          <w:sz w:val="20"/>
          <w:szCs w:val="20"/>
          <w:lang w:val="sr-Latn-RS"/>
        </w:rPr>
      </w:pPr>
      <w:r>
        <w:rPr>
          <w:rFonts w:ascii="Verdana" w:eastAsia="Calibri" w:hAnsi="Verdana"/>
          <w:sz w:val="20"/>
          <w:szCs w:val="20"/>
          <w:lang w:val="sr-Latn-RS"/>
        </w:rPr>
        <w:t>To have a minimum of 150 employees and employed persons, out of which the following are obligatory:</w:t>
      </w:r>
    </w:p>
    <w:p w14:paraId="2A527EE1" w14:textId="77777777" w:rsidR="00F8350C" w:rsidRPr="00F8350C" w:rsidRDefault="00F8350C" w:rsidP="00F8350C">
      <w:pPr>
        <w:spacing w:after="160" w:line="259" w:lineRule="auto"/>
        <w:ind w:left="1440"/>
        <w:contextualSpacing/>
        <w:rPr>
          <w:rFonts w:ascii="Verdana" w:eastAsia="Calibri" w:hAnsi="Verdana"/>
          <w:sz w:val="20"/>
          <w:szCs w:val="20"/>
          <w:lang w:val="sr-Latn-RS"/>
        </w:rPr>
      </w:pPr>
    </w:p>
    <w:tbl>
      <w:tblPr>
        <w:tblStyle w:val="TableGrid"/>
        <w:tblW w:w="7910" w:type="dxa"/>
        <w:tblInd w:w="1440" w:type="dxa"/>
        <w:tblLook w:val="04A0" w:firstRow="1" w:lastRow="0" w:firstColumn="1" w:lastColumn="0" w:noHBand="0" w:noVBand="1"/>
      </w:tblPr>
      <w:tblGrid>
        <w:gridCol w:w="560"/>
        <w:gridCol w:w="5105"/>
        <w:gridCol w:w="2245"/>
      </w:tblGrid>
      <w:tr w:rsidR="00F8350C" w:rsidRPr="00F8350C" w14:paraId="781F6EA1" w14:textId="77777777" w:rsidTr="005A0D5C">
        <w:tc>
          <w:tcPr>
            <w:tcW w:w="560" w:type="dxa"/>
            <w:shd w:val="clear" w:color="auto" w:fill="D9D9D9" w:themeFill="background1" w:themeFillShade="D9"/>
          </w:tcPr>
          <w:p w14:paraId="39DA509C" w14:textId="0CDA1969" w:rsidR="00F8350C" w:rsidRPr="00F8350C" w:rsidRDefault="00E6508D" w:rsidP="005A0D5C">
            <w:pPr>
              <w:spacing w:after="160" w:line="259" w:lineRule="auto"/>
              <w:contextualSpacing/>
              <w:jc w:val="center"/>
              <w:rPr>
                <w:rFonts w:ascii="Verdana" w:eastAsia="Calibri" w:hAnsi="Verdana"/>
                <w:sz w:val="20"/>
                <w:szCs w:val="20"/>
                <w:lang w:val="sr-Cyrl-RS"/>
              </w:rPr>
            </w:pPr>
            <w:r>
              <w:rPr>
                <w:rFonts w:ascii="Verdana" w:eastAsia="Calibri" w:hAnsi="Verdana"/>
                <w:sz w:val="20"/>
                <w:szCs w:val="20"/>
                <w:lang w:val="sr-Cyrl-RS"/>
              </w:rPr>
              <w:t>no</w:t>
            </w:r>
          </w:p>
        </w:tc>
        <w:tc>
          <w:tcPr>
            <w:tcW w:w="5105" w:type="dxa"/>
            <w:shd w:val="clear" w:color="auto" w:fill="D9D9D9" w:themeFill="background1" w:themeFillShade="D9"/>
          </w:tcPr>
          <w:p w14:paraId="07534678" w14:textId="522A2279" w:rsidR="00F8350C" w:rsidRPr="00E6508D" w:rsidRDefault="00E6508D" w:rsidP="005A0D5C">
            <w:pPr>
              <w:spacing w:after="160" w:line="259" w:lineRule="auto"/>
              <w:contextualSpacing/>
              <w:jc w:val="center"/>
              <w:rPr>
                <w:rFonts w:ascii="Verdana" w:eastAsia="Calibri" w:hAnsi="Verdana"/>
                <w:sz w:val="20"/>
                <w:szCs w:val="20"/>
                <w:lang w:val="sr-Latn-RS"/>
              </w:rPr>
            </w:pPr>
            <w:r>
              <w:rPr>
                <w:rFonts w:ascii="Verdana" w:eastAsia="Calibri" w:hAnsi="Verdana"/>
                <w:sz w:val="20"/>
                <w:szCs w:val="20"/>
                <w:lang w:val="sr-Cyrl-RS"/>
              </w:rPr>
              <w:t xml:space="preserve">Professional </w:t>
            </w:r>
            <w:r>
              <w:rPr>
                <w:rFonts w:ascii="Verdana" w:eastAsia="Calibri" w:hAnsi="Verdana"/>
                <w:sz w:val="20"/>
                <w:szCs w:val="20"/>
                <w:lang w:val="sr-Latn-RS"/>
              </w:rPr>
              <w:t>qualifications</w:t>
            </w:r>
          </w:p>
        </w:tc>
        <w:tc>
          <w:tcPr>
            <w:tcW w:w="2245" w:type="dxa"/>
            <w:shd w:val="clear" w:color="auto" w:fill="D9D9D9" w:themeFill="background1" w:themeFillShade="D9"/>
          </w:tcPr>
          <w:p w14:paraId="20C31C3F" w14:textId="531F75FB" w:rsidR="00F8350C" w:rsidRPr="00E6508D" w:rsidRDefault="00E6508D" w:rsidP="005A0D5C">
            <w:pPr>
              <w:spacing w:after="160" w:line="259" w:lineRule="auto"/>
              <w:contextualSpacing/>
              <w:jc w:val="center"/>
              <w:rPr>
                <w:rFonts w:ascii="Verdana" w:eastAsia="Calibri" w:hAnsi="Verdana"/>
                <w:sz w:val="20"/>
                <w:szCs w:val="20"/>
                <w:lang w:val="sr-Latn-RS"/>
              </w:rPr>
            </w:pPr>
            <w:r>
              <w:rPr>
                <w:rFonts w:ascii="Verdana" w:eastAsia="Calibri" w:hAnsi="Verdana"/>
                <w:sz w:val="20"/>
                <w:szCs w:val="20"/>
                <w:lang w:val="sr-Cyrl-RS"/>
              </w:rPr>
              <w:t xml:space="preserve">Number </w:t>
            </w:r>
            <w:r>
              <w:rPr>
                <w:rFonts w:ascii="Verdana" w:eastAsia="Calibri" w:hAnsi="Verdana"/>
                <w:sz w:val="20"/>
                <w:szCs w:val="20"/>
                <w:lang w:val="sr-Latn-RS"/>
              </w:rPr>
              <w:t>of executors</w:t>
            </w:r>
          </w:p>
        </w:tc>
      </w:tr>
      <w:tr w:rsidR="00F8350C" w:rsidRPr="00F8350C" w14:paraId="0FBB0A7C" w14:textId="77777777" w:rsidTr="005A0D5C">
        <w:tc>
          <w:tcPr>
            <w:tcW w:w="560" w:type="dxa"/>
          </w:tcPr>
          <w:p w14:paraId="68E41D35" w14:textId="77777777" w:rsidR="00F8350C" w:rsidRPr="00F8350C" w:rsidRDefault="00F8350C" w:rsidP="005A0D5C">
            <w:pPr>
              <w:spacing w:after="160" w:line="259" w:lineRule="auto"/>
              <w:contextualSpacing/>
              <w:rPr>
                <w:rFonts w:ascii="Verdana" w:eastAsia="Calibri" w:hAnsi="Verdana"/>
                <w:sz w:val="20"/>
                <w:szCs w:val="20"/>
                <w:lang w:val="sr-Cyrl-RS"/>
              </w:rPr>
            </w:pPr>
            <w:r w:rsidRPr="00F8350C">
              <w:rPr>
                <w:rFonts w:ascii="Verdana" w:eastAsia="Calibri" w:hAnsi="Verdana"/>
                <w:sz w:val="20"/>
                <w:szCs w:val="20"/>
                <w:lang w:val="sr-Cyrl-RS"/>
              </w:rPr>
              <w:t>1</w:t>
            </w:r>
          </w:p>
        </w:tc>
        <w:tc>
          <w:tcPr>
            <w:tcW w:w="5105" w:type="dxa"/>
          </w:tcPr>
          <w:p w14:paraId="12416AE0" w14:textId="0ED81CA3" w:rsidR="00F8350C" w:rsidRPr="00E6508D" w:rsidRDefault="00E6508D" w:rsidP="005A0D5C">
            <w:pPr>
              <w:spacing w:after="160" w:line="259" w:lineRule="auto"/>
              <w:contextualSpacing/>
              <w:jc w:val="center"/>
              <w:rPr>
                <w:rFonts w:ascii="Verdana" w:eastAsia="Calibri" w:hAnsi="Verdana"/>
                <w:sz w:val="20"/>
                <w:szCs w:val="20"/>
                <w:lang w:val="sr-Latn-RS"/>
              </w:rPr>
            </w:pPr>
            <w:r>
              <w:rPr>
                <w:rFonts w:ascii="Verdana" w:eastAsia="Calibri" w:hAnsi="Verdana"/>
                <w:sz w:val="20"/>
                <w:szCs w:val="20"/>
                <w:lang w:val="sr-Cyrl-RS"/>
              </w:rPr>
              <w:t xml:space="preserve">Graduate </w:t>
            </w:r>
            <w:r>
              <w:rPr>
                <w:rFonts w:ascii="Verdana" w:eastAsia="Calibri" w:hAnsi="Verdana"/>
                <w:sz w:val="20"/>
                <w:szCs w:val="20"/>
                <w:lang w:val="sr-Latn-RS"/>
              </w:rPr>
              <w:t>plant protection engineer</w:t>
            </w:r>
          </w:p>
        </w:tc>
        <w:tc>
          <w:tcPr>
            <w:tcW w:w="2245" w:type="dxa"/>
          </w:tcPr>
          <w:p w14:paraId="72ADC713" w14:textId="0E8984A0" w:rsidR="00F8350C" w:rsidRPr="00F8350C" w:rsidRDefault="00E6508D" w:rsidP="005A0D5C">
            <w:pPr>
              <w:spacing w:after="160" w:line="259" w:lineRule="auto"/>
              <w:contextualSpacing/>
              <w:jc w:val="right"/>
              <w:rPr>
                <w:rFonts w:ascii="Verdana" w:eastAsia="Calibri" w:hAnsi="Verdana"/>
                <w:sz w:val="20"/>
                <w:szCs w:val="20"/>
                <w:lang w:val="sr-Cyrl-RS"/>
              </w:rPr>
            </w:pPr>
            <w:r>
              <w:rPr>
                <w:rFonts w:ascii="Verdana" w:eastAsia="Calibri" w:hAnsi="Verdana"/>
                <w:sz w:val="20"/>
                <w:szCs w:val="20"/>
                <w:lang w:val="sr-Cyrl-RS"/>
              </w:rPr>
              <w:t>1 person</w:t>
            </w:r>
          </w:p>
        </w:tc>
      </w:tr>
      <w:tr w:rsidR="00F8350C" w:rsidRPr="00F8350C" w14:paraId="04F03DD3" w14:textId="77777777" w:rsidTr="005A0D5C">
        <w:tc>
          <w:tcPr>
            <w:tcW w:w="560" w:type="dxa"/>
          </w:tcPr>
          <w:p w14:paraId="158DDDCA" w14:textId="77777777" w:rsidR="00F8350C" w:rsidRPr="00F8350C" w:rsidRDefault="00F8350C" w:rsidP="005A0D5C">
            <w:pPr>
              <w:spacing w:after="160" w:line="259" w:lineRule="auto"/>
              <w:contextualSpacing/>
              <w:rPr>
                <w:rFonts w:ascii="Verdana" w:eastAsia="Calibri" w:hAnsi="Verdana"/>
                <w:sz w:val="20"/>
                <w:szCs w:val="20"/>
                <w:lang w:val="sr-Cyrl-RS"/>
              </w:rPr>
            </w:pPr>
            <w:r w:rsidRPr="00F8350C">
              <w:rPr>
                <w:rFonts w:ascii="Verdana" w:eastAsia="Calibri" w:hAnsi="Verdana"/>
                <w:sz w:val="20"/>
                <w:szCs w:val="20"/>
                <w:lang w:val="sr-Cyrl-RS"/>
              </w:rPr>
              <w:t>2</w:t>
            </w:r>
          </w:p>
        </w:tc>
        <w:tc>
          <w:tcPr>
            <w:tcW w:w="5105" w:type="dxa"/>
          </w:tcPr>
          <w:p w14:paraId="7E823E55" w14:textId="3D4D62C0" w:rsidR="00F8350C" w:rsidRPr="00E6508D" w:rsidRDefault="00E6508D" w:rsidP="005A0D5C">
            <w:pPr>
              <w:spacing w:after="160" w:line="259" w:lineRule="auto"/>
              <w:contextualSpacing/>
              <w:jc w:val="center"/>
              <w:rPr>
                <w:rFonts w:ascii="Verdana" w:eastAsia="Calibri" w:hAnsi="Verdana"/>
                <w:sz w:val="20"/>
                <w:szCs w:val="20"/>
                <w:lang w:val="sr-Latn-RS"/>
              </w:rPr>
            </w:pPr>
            <w:r>
              <w:rPr>
                <w:rFonts w:ascii="Verdana" w:eastAsia="Calibri" w:hAnsi="Verdana"/>
                <w:sz w:val="20"/>
                <w:szCs w:val="20"/>
                <w:lang w:val="sr-Cyrl-RS"/>
              </w:rPr>
              <w:t xml:space="preserve">Graduate </w:t>
            </w:r>
            <w:r w:rsidR="00382F42">
              <w:rPr>
                <w:rFonts w:ascii="Verdana" w:eastAsia="Calibri" w:hAnsi="Verdana"/>
                <w:sz w:val="20"/>
                <w:szCs w:val="20"/>
                <w:lang w:val="sr-Latn-RS"/>
              </w:rPr>
              <w:t>engineer of landscape architecture</w:t>
            </w:r>
          </w:p>
        </w:tc>
        <w:tc>
          <w:tcPr>
            <w:tcW w:w="2245" w:type="dxa"/>
          </w:tcPr>
          <w:p w14:paraId="659E4CAC" w14:textId="1462569A" w:rsidR="00F8350C" w:rsidRPr="00F8350C" w:rsidRDefault="00382F42" w:rsidP="005A0D5C">
            <w:pPr>
              <w:spacing w:after="160" w:line="259" w:lineRule="auto"/>
              <w:contextualSpacing/>
              <w:jc w:val="right"/>
              <w:rPr>
                <w:rFonts w:ascii="Verdana" w:eastAsia="Calibri" w:hAnsi="Verdana"/>
                <w:sz w:val="20"/>
                <w:szCs w:val="20"/>
                <w:lang w:val="sr-Cyrl-RS"/>
              </w:rPr>
            </w:pPr>
            <w:r>
              <w:rPr>
                <w:rFonts w:ascii="Verdana" w:eastAsia="Calibri" w:hAnsi="Verdana"/>
                <w:sz w:val="20"/>
                <w:szCs w:val="20"/>
                <w:lang w:val="sr-Cyrl-RS"/>
              </w:rPr>
              <w:t>2 persons</w:t>
            </w:r>
          </w:p>
        </w:tc>
      </w:tr>
      <w:tr w:rsidR="00F8350C" w:rsidRPr="00F8350C" w14:paraId="512BC6D7" w14:textId="77777777" w:rsidTr="005A0D5C">
        <w:trPr>
          <w:trHeight w:val="89"/>
        </w:trPr>
        <w:tc>
          <w:tcPr>
            <w:tcW w:w="560" w:type="dxa"/>
          </w:tcPr>
          <w:p w14:paraId="0F808B3E" w14:textId="77777777" w:rsidR="00F8350C" w:rsidRPr="00F8350C" w:rsidRDefault="00F8350C" w:rsidP="005A0D5C">
            <w:pPr>
              <w:spacing w:after="160" w:line="259" w:lineRule="auto"/>
              <w:contextualSpacing/>
              <w:rPr>
                <w:rFonts w:ascii="Verdana" w:eastAsia="Calibri" w:hAnsi="Verdana"/>
                <w:sz w:val="20"/>
                <w:szCs w:val="20"/>
                <w:lang w:val="sr-Cyrl-RS"/>
              </w:rPr>
            </w:pPr>
            <w:r w:rsidRPr="00F8350C">
              <w:rPr>
                <w:rFonts w:ascii="Verdana" w:eastAsia="Calibri" w:hAnsi="Verdana"/>
                <w:sz w:val="20"/>
                <w:szCs w:val="20"/>
                <w:lang w:val="sr-Cyrl-RS"/>
              </w:rPr>
              <w:t>3</w:t>
            </w:r>
          </w:p>
        </w:tc>
        <w:tc>
          <w:tcPr>
            <w:tcW w:w="5105" w:type="dxa"/>
          </w:tcPr>
          <w:p w14:paraId="516A76DB" w14:textId="1C825F11" w:rsidR="00F8350C" w:rsidRPr="00382F42" w:rsidRDefault="00382F42" w:rsidP="005A0D5C">
            <w:pPr>
              <w:spacing w:after="160" w:line="259" w:lineRule="auto"/>
              <w:contextualSpacing/>
              <w:jc w:val="center"/>
              <w:rPr>
                <w:rFonts w:ascii="Verdana" w:eastAsia="Calibri" w:hAnsi="Verdana"/>
                <w:sz w:val="20"/>
                <w:szCs w:val="20"/>
                <w:lang w:val="sr-Latn-RS"/>
              </w:rPr>
            </w:pPr>
            <w:r>
              <w:rPr>
                <w:rFonts w:ascii="Verdana" w:eastAsia="Calibri" w:hAnsi="Verdana"/>
                <w:sz w:val="20"/>
                <w:szCs w:val="20"/>
                <w:lang w:val="sr-Cyrl-RS"/>
              </w:rPr>
              <w:t xml:space="preserve">Higher </w:t>
            </w:r>
            <w:r>
              <w:rPr>
                <w:rFonts w:ascii="Verdana" w:eastAsia="Calibri" w:hAnsi="Verdana"/>
                <w:sz w:val="20"/>
                <w:szCs w:val="20"/>
                <w:lang w:val="sr-Latn-RS"/>
              </w:rPr>
              <w:t>education</w:t>
            </w:r>
          </w:p>
        </w:tc>
        <w:tc>
          <w:tcPr>
            <w:tcW w:w="2245" w:type="dxa"/>
          </w:tcPr>
          <w:p w14:paraId="7C5E8546" w14:textId="2D14AD3A" w:rsidR="00F8350C" w:rsidRPr="00F8350C" w:rsidRDefault="00382F42" w:rsidP="005A0D5C">
            <w:pPr>
              <w:spacing w:after="160" w:line="259" w:lineRule="auto"/>
              <w:contextualSpacing/>
              <w:jc w:val="right"/>
              <w:rPr>
                <w:rFonts w:ascii="Verdana" w:eastAsia="Calibri" w:hAnsi="Verdana"/>
                <w:sz w:val="20"/>
                <w:szCs w:val="20"/>
                <w:lang w:val="sr-Cyrl-RS"/>
              </w:rPr>
            </w:pPr>
            <w:r>
              <w:rPr>
                <w:rFonts w:ascii="Verdana" w:eastAsia="Calibri" w:hAnsi="Verdana"/>
                <w:sz w:val="20"/>
                <w:szCs w:val="20"/>
                <w:lang w:val="sr-Cyrl-RS"/>
              </w:rPr>
              <w:t>2 persons</w:t>
            </w:r>
          </w:p>
        </w:tc>
      </w:tr>
    </w:tbl>
    <w:p w14:paraId="1777FC0D" w14:textId="77777777" w:rsidR="00F8350C" w:rsidRPr="00F8350C" w:rsidRDefault="00F8350C" w:rsidP="00F8350C">
      <w:pPr>
        <w:spacing w:after="160" w:line="259" w:lineRule="auto"/>
        <w:ind w:left="1440"/>
        <w:contextualSpacing/>
        <w:rPr>
          <w:rFonts w:ascii="Verdana" w:eastAsia="Calibri" w:hAnsi="Verdana"/>
          <w:sz w:val="20"/>
          <w:szCs w:val="20"/>
          <w:lang w:val="sr-Latn-RS"/>
        </w:rPr>
      </w:pPr>
    </w:p>
    <w:p w14:paraId="710D3F4F" w14:textId="08749E6D" w:rsidR="00F8350C" w:rsidRPr="00F8350C" w:rsidRDefault="00382F42" w:rsidP="00F8350C">
      <w:pPr>
        <w:pStyle w:val="ListParagraph"/>
        <w:numPr>
          <w:ilvl w:val="0"/>
          <w:numId w:val="35"/>
        </w:numPr>
        <w:spacing w:after="160" w:line="259" w:lineRule="auto"/>
        <w:jc w:val="both"/>
        <w:rPr>
          <w:rFonts w:ascii="Verdana" w:hAnsi="Verdana"/>
          <w:b/>
          <w:sz w:val="20"/>
          <w:szCs w:val="20"/>
          <w:lang w:val="sr-Latn-RS"/>
        </w:rPr>
      </w:pPr>
      <w:r>
        <w:rPr>
          <w:rFonts w:ascii="Verdana" w:hAnsi="Verdana"/>
          <w:b/>
          <w:sz w:val="20"/>
          <w:szCs w:val="20"/>
          <w:lang w:val="sr-Latn-RS"/>
        </w:rPr>
        <w:t>Business standards</w:t>
      </w:r>
    </w:p>
    <w:p w14:paraId="2442A992" w14:textId="07EBD071" w:rsidR="00F8350C" w:rsidRPr="00F8350C" w:rsidRDefault="00382F42" w:rsidP="00F8350C">
      <w:pPr>
        <w:numPr>
          <w:ilvl w:val="0"/>
          <w:numId w:val="34"/>
        </w:numPr>
        <w:spacing w:after="160" w:line="259" w:lineRule="auto"/>
        <w:contextualSpacing/>
        <w:rPr>
          <w:rFonts w:ascii="Verdana" w:eastAsia="Calibri" w:hAnsi="Verdana"/>
          <w:sz w:val="20"/>
          <w:szCs w:val="20"/>
          <w:lang w:val="sr-Latn-RS"/>
        </w:rPr>
      </w:pPr>
      <w:r>
        <w:rPr>
          <w:rFonts w:ascii="Verdana" w:eastAsia="Calibri" w:hAnsi="Verdana"/>
          <w:sz w:val="20"/>
          <w:szCs w:val="20"/>
          <w:lang w:val="sr-Latn-RS"/>
        </w:rPr>
        <w:t xml:space="preserve">To have ISO standards: 9001, 14001, 45001 </w:t>
      </w:r>
    </w:p>
    <w:p w14:paraId="2C7000DC" w14:textId="77777777" w:rsidR="00F8350C" w:rsidRPr="00F8350C" w:rsidRDefault="00F8350C" w:rsidP="00F8350C">
      <w:pPr>
        <w:spacing w:after="160" w:line="259" w:lineRule="auto"/>
        <w:ind w:left="720"/>
        <w:contextualSpacing/>
        <w:rPr>
          <w:rFonts w:ascii="Verdana" w:eastAsia="Calibri" w:hAnsi="Verdana"/>
          <w:sz w:val="20"/>
          <w:szCs w:val="20"/>
          <w:lang w:val="sr-Latn-RS"/>
        </w:rPr>
      </w:pPr>
    </w:p>
    <w:p w14:paraId="5FDDC1F3" w14:textId="47D59AEF" w:rsidR="00F8350C" w:rsidRPr="00F8350C" w:rsidRDefault="00382F42" w:rsidP="00F8350C">
      <w:pPr>
        <w:pStyle w:val="ListParagraph"/>
        <w:numPr>
          <w:ilvl w:val="0"/>
          <w:numId w:val="35"/>
        </w:numPr>
        <w:spacing w:after="160" w:line="259" w:lineRule="auto"/>
        <w:jc w:val="both"/>
        <w:rPr>
          <w:rFonts w:ascii="Verdana" w:hAnsi="Verdana"/>
          <w:b/>
          <w:sz w:val="20"/>
          <w:szCs w:val="20"/>
          <w:lang w:val="sr-Latn-RS"/>
        </w:rPr>
      </w:pPr>
      <w:r>
        <w:rPr>
          <w:rFonts w:ascii="Verdana" w:hAnsi="Verdana"/>
          <w:b/>
          <w:sz w:val="20"/>
          <w:szCs w:val="20"/>
          <w:lang w:val="sr-Latn-RS"/>
        </w:rPr>
        <w:t>Financial capacity</w:t>
      </w:r>
    </w:p>
    <w:p w14:paraId="596672CC" w14:textId="71741F93" w:rsidR="00F8350C" w:rsidRPr="00F8350C" w:rsidRDefault="00382F42" w:rsidP="00353027">
      <w:pPr>
        <w:numPr>
          <w:ilvl w:val="0"/>
          <w:numId w:val="34"/>
        </w:numPr>
        <w:spacing w:after="160" w:line="259" w:lineRule="auto"/>
        <w:contextualSpacing/>
        <w:jc w:val="both"/>
        <w:rPr>
          <w:rFonts w:ascii="Verdana" w:eastAsia="Calibri" w:hAnsi="Verdana"/>
          <w:sz w:val="20"/>
          <w:szCs w:val="20"/>
          <w:lang w:val="sr-Latn-RS"/>
        </w:rPr>
      </w:pPr>
      <w:r>
        <w:rPr>
          <w:rFonts w:ascii="Verdana" w:eastAsia="Calibri" w:hAnsi="Verdana"/>
          <w:sz w:val="20"/>
          <w:szCs w:val="20"/>
          <w:lang w:val="sr-Latn-RS"/>
        </w:rPr>
        <w:lastRenderedPageBreak/>
        <w:t xml:space="preserve">To have had a profit of at least 900 million RSD in the period of three years preceeding the Pulic call, performing the activity from </w:t>
      </w:r>
      <w:r w:rsidR="00F67CA7">
        <w:rPr>
          <w:rFonts w:ascii="Verdana" w:eastAsia="Calibri" w:hAnsi="Verdana"/>
          <w:sz w:val="20"/>
          <w:szCs w:val="20"/>
          <w:lang w:val="sr-Latn-RS"/>
        </w:rPr>
        <w:t>Clause</w:t>
      </w:r>
      <w:r>
        <w:rPr>
          <w:rFonts w:ascii="Verdana" w:eastAsia="Calibri" w:hAnsi="Verdana"/>
          <w:sz w:val="20"/>
          <w:szCs w:val="20"/>
          <w:lang w:val="sr-Latn-RS"/>
        </w:rPr>
        <w:t xml:space="preserve"> 1 above</w:t>
      </w:r>
    </w:p>
    <w:p w14:paraId="4A4EEF0D" w14:textId="534333C9" w:rsidR="00F8350C" w:rsidRPr="00F8350C" w:rsidRDefault="00382F42" w:rsidP="00353027">
      <w:pPr>
        <w:numPr>
          <w:ilvl w:val="0"/>
          <w:numId w:val="34"/>
        </w:numPr>
        <w:spacing w:after="160" w:line="259" w:lineRule="auto"/>
        <w:contextualSpacing/>
        <w:jc w:val="both"/>
        <w:rPr>
          <w:rFonts w:ascii="Verdana" w:eastAsia="Calibri" w:hAnsi="Verdana"/>
          <w:sz w:val="20"/>
          <w:szCs w:val="20"/>
          <w:lang w:val="sr-Latn-RS"/>
        </w:rPr>
      </w:pPr>
      <w:r>
        <w:rPr>
          <w:rFonts w:ascii="Verdana" w:eastAsia="Calibri" w:hAnsi="Verdana"/>
          <w:sz w:val="20"/>
          <w:szCs w:val="20"/>
          <w:lang w:val="sr-Latn-RS"/>
        </w:rPr>
        <w:t>Reference list for the last three years of business the value of 200 million RSD</w:t>
      </w:r>
    </w:p>
    <w:p w14:paraId="513591A0" w14:textId="77777777" w:rsidR="00F8350C" w:rsidRPr="00F8350C" w:rsidRDefault="00F8350C" w:rsidP="00F8350C">
      <w:pPr>
        <w:rPr>
          <w:rFonts w:ascii="Verdana" w:eastAsia="Calibri" w:hAnsi="Verdana"/>
          <w:sz w:val="20"/>
          <w:szCs w:val="20"/>
          <w:lang w:val="sr-Latn-RS"/>
        </w:rPr>
      </w:pPr>
      <w:r w:rsidRPr="00F8350C">
        <w:rPr>
          <w:rFonts w:ascii="Verdana" w:eastAsia="Calibri" w:hAnsi="Verdana"/>
          <w:sz w:val="20"/>
          <w:szCs w:val="20"/>
          <w:lang w:val="sr-Latn-RS"/>
        </w:rPr>
        <w:tab/>
      </w:r>
    </w:p>
    <w:p w14:paraId="0F20810B" w14:textId="753F981C" w:rsidR="00F8350C" w:rsidRPr="00F8350C" w:rsidRDefault="00382F42" w:rsidP="00F8350C">
      <w:pPr>
        <w:pStyle w:val="ListParagraph"/>
        <w:numPr>
          <w:ilvl w:val="0"/>
          <w:numId w:val="35"/>
        </w:numPr>
        <w:spacing w:after="180"/>
        <w:jc w:val="both"/>
        <w:rPr>
          <w:rFonts w:ascii="Verdana" w:hAnsi="Verdana"/>
          <w:b/>
          <w:sz w:val="20"/>
          <w:szCs w:val="20"/>
        </w:rPr>
      </w:pPr>
      <w:r>
        <w:rPr>
          <w:rFonts w:ascii="Verdana" w:hAnsi="Verdana"/>
          <w:b/>
          <w:sz w:val="20"/>
          <w:szCs w:val="20"/>
          <w:lang w:val="sr-Latn-RS"/>
        </w:rPr>
        <w:t xml:space="preserve">Technical capacity </w:t>
      </w:r>
    </w:p>
    <w:tbl>
      <w:tblPr>
        <w:tblStyle w:val="TableGrid10"/>
        <w:tblW w:w="0" w:type="auto"/>
        <w:tblInd w:w="1440" w:type="dxa"/>
        <w:tblLook w:val="04A0" w:firstRow="1" w:lastRow="0" w:firstColumn="1" w:lastColumn="0" w:noHBand="0" w:noVBand="1"/>
      </w:tblPr>
      <w:tblGrid>
        <w:gridCol w:w="544"/>
        <w:gridCol w:w="6225"/>
        <w:gridCol w:w="1241"/>
      </w:tblGrid>
      <w:tr w:rsidR="00F8350C" w:rsidRPr="00F8350C" w14:paraId="56C79076" w14:textId="77777777" w:rsidTr="005A0D5C">
        <w:tc>
          <w:tcPr>
            <w:tcW w:w="520" w:type="dxa"/>
            <w:shd w:val="clear" w:color="auto" w:fill="70AD47"/>
          </w:tcPr>
          <w:p w14:paraId="6D033545" w14:textId="1A9D9406" w:rsidR="00F8350C" w:rsidRPr="00F8350C" w:rsidRDefault="008E3679" w:rsidP="005A0D5C">
            <w:pPr>
              <w:contextualSpacing/>
              <w:rPr>
                <w:rFonts w:ascii="Verdana" w:hAnsi="Verdana"/>
                <w:sz w:val="20"/>
                <w:szCs w:val="20"/>
                <w:lang w:val="sr-Latn-RS"/>
              </w:rPr>
            </w:pPr>
            <w:r>
              <w:rPr>
                <w:rFonts w:ascii="Verdana" w:hAnsi="Verdana"/>
                <w:sz w:val="20"/>
                <w:szCs w:val="20"/>
                <w:lang w:val="sr-Latn-RS"/>
              </w:rPr>
              <w:t>no</w:t>
            </w:r>
          </w:p>
        </w:tc>
        <w:tc>
          <w:tcPr>
            <w:tcW w:w="6225" w:type="dxa"/>
            <w:shd w:val="clear" w:color="auto" w:fill="70AD47"/>
          </w:tcPr>
          <w:p w14:paraId="2F1F93B3" w14:textId="230EF917" w:rsidR="00F8350C" w:rsidRPr="008E3679" w:rsidRDefault="008E3679" w:rsidP="005A0D5C">
            <w:pPr>
              <w:contextualSpacing/>
              <w:rPr>
                <w:rFonts w:ascii="Verdana" w:hAnsi="Verdana"/>
                <w:sz w:val="20"/>
                <w:szCs w:val="20"/>
                <w:lang w:val="sr-Latn-RS"/>
              </w:rPr>
            </w:pPr>
            <w:r>
              <w:rPr>
                <w:rFonts w:ascii="Verdana" w:hAnsi="Verdana"/>
                <w:sz w:val="20"/>
                <w:szCs w:val="20"/>
                <w:lang w:val="sr-Latn-RS"/>
              </w:rPr>
              <w:t>Equipment</w:t>
            </w:r>
          </w:p>
        </w:tc>
        <w:tc>
          <w:tcPr>
            <w:tcW w:w="1165" w:type="dxa"/>
            <w:shd w:val="clear" w:color="auto" w:fill="70AD47"/>
          </w:tcPr>
          <w:p w14:paraId="697208C6" w14:textId="3E5967B7" w:rsidR="00F8350C" w:rsidRPr="008E3679" w:rsidRDefault="008E3679" w:rsidP="005A0D5C">
            <w:pPr>
              <w:contextualSpacing/>
              <w:rPr>
                <w:rFonts w:ascii="Verdana" w:hAnsi="Verdana"/>
                <w:sz w:val="20"/>
                <w:szCs w:val="20"/>
                <w:lang w:val="sr-Latn-RS"/>
              </w:rPr>
            </w:pPr>
            <w:r>
              <w:rPr>
                <w:rFonts w:ascii="Verdana" w:hAnsi="Verdana"/>
                <w:sz w:val="20"/>
                <w:szCs w:val="20"/>
                <w:lang w:val="sr-Cyrl-RS"/>
              </w:rPr>
              <w:t xml:space="preserve">Necessary </w:t>
            </w:r>
            <w:r>
              <w:rPr>
                <w:rFonts w:ascii="Verdana" w:hAnsi="Verdana"/>
                <w:sz w:val="20"/>
                <w:szCs w:val="20"/>
                <w:lang w:val="sr-Latn-RS"/>
              </w:rPr>
              <w:t>number</w:t>
            </w:r>
          </w:p>
        </w:tc>
      </w:tr>
      <w:tr w:rsidR="00F8350C" w:rsidRPr="00F8350C" w14:paraId="3A724212" w14:textId="77777777" w:rsidTr="005A0D5C">
        <w:tc>
          <w:tcPr>
            <w:tcW w:w="520" w:type="dxa"/>
          </w:tcPr>
          <w:p w14:paraId="40FDD45C"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1.</w:t>
            </w:r>
          </w:p>
        </w:tc>
        <w:tc>
          <w:tcPr>
            <w:tcW w:w="6225" w:type="dxa"/>
          </w:tcPr>
          <w:p w14:paraId="64C8B0ED" w14:textId="728D866D" w:rsidR="00F8350C" w:rsidRPr="00F8350C" w:rsidRDefault="008E3679" w:rsidP="005A0D5C">
            <w:pPr>
              <w:rPr>
                <w:rFonts w:ascii="Verdana" w:hAnsi="Verdana"/>
                <w:sz w:val="20"/>
                <w:szCs w:val="20"/>
              </w:rPr>
            </w:pPr>
            <w:r>
              <w:rPr>
                <w:rFonts w:ascii="Verdana" w:hAnsi="Verdana"/>
                <w:sz w:val="20"/>
                <w:szCs w:val="20"/>
                <w:lang w:val="sr-Latn-RS"/>
              </w:rPr>
              <w:t>Professional grass trimmers</w:t>
            </w:r>
          </w:p>
          <w:p w14:paraId="02385655" w14:textId="77777777" w:rsidR="00F8350C" w:rsidRPr="00F8350C" w:rsidRDefault="00F8350C" w:rsidP="005A0D5C">
            <w:pPr>
              <w:contextualSpacing/>
              <w:rPr>
                <w:rFonts w:ascii="Verdana" w:hAnsi="Verdana"/>
                <w:sz w:val="20"/>
                <w:szCs w:val="20"/>
                <w:lang w:val="sr-Latn-RS"/>
              </w:rPr>
            </w:pPr>
          </w:p>
        </w:tc>
        <w:tc>
          <w:tcPr>
            <w:tcW w:w="1165" w:type="dxa"/>
          </w:tcPr>
          <w:p w14:paraId="4654B360" w14:textId="523380A7" w:rsidR="00F8350C" w:rsidRPr="00F8350C" w:rsidRDefault="008E3679" w:rsidP="005A0D5C">
            <w:pPr>
              <w:contextualSpacing/>
              <w:jc w:val="right"/>
              <w:rPr>
                <w:rFonts w:ascii="Verdana" w:hAnsi="Verdana"/>
                <w:sz w:val="20"/>
                <w:szCs w:val="20"/>
                <w:lang w:val="sr-Latn-RS"/>
              </w:rPr>
            </w:pPr>
            <w:r>
              <w:rPr>
                <w:rFonts w:ascii="Verdana" w:hAnsi="Verdana"/>
                <w:sz w:val="20"/>
                <w:szCs w:val="20"/>
                <w:lang w:val="sr-Latn-RS"/>
              </w:rPr>
              <w:t>50 pieces</w:t>
            </w:r>
          </w:p>
        </w:tc>
      </w:tr>
      <w:tr w:rsidR="00F8350C" w:rsidRPr="00F8350C" w14:paraId="1A598FC4" w14:textId="77777777" w:rsidTr="005A0D5C">
        <w:tc>
          <w:tcPr>
            <w:tcW w:w="520" w:type="dxa"/>
          </w:tcPr>
          <w:p w14:paraId="4C5D6F00"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2.</w:t>
            </w:r>
          </w:p>
        </w:tc>
        <w:tc>
          <w:tcPr>
            <w:tcW w:w="6225" w:type="dxa"/>
          </w:tcPr>
          <w:p w14:paraId="37783143" w14:textId="5065BBC5" w:rsidR="00F8350C" w:rsidRPr="00F8350C" w:rsidRDefault="00F8350C" w:rsidP="005A0D5C">
            <w:pPr>
              <w:rPr>
                <w:rFonts w:ascii="Verdana" w:hAnsi="Verdana"/>
                <w:sz w:val="20"/>
                <w:szCs w:val="20"/>
              </w:rPr>
            </w:pPr>
            <w:r w:rsidRPr="00F8350C">
              <w:rPr>
                <w:rFonts w:ascii="Verdana" w:hAnsi="Verdana"/>
                <w:sz w:val="20"/>
                <w:szCs w:val="20"/>
                <w:lang w:val="sr-Cyrl-RS"/>
              </w:rPr>
              <w:t>М</w:t>
            </w:r>
            <w:r w:rsidR="008E3679">
              <w:rPr>
                <w:rFonts w:ascii="Verdana" w:hAnsi="Verdana"/>
                <w:sz w:val="20"/>
                <w:szCs w:val="20"/>
                <w:lang w:val="sr-Latn-RS"/>
              </w:rPr>
              <w:t>otor mowers</w:t>
            </w:r>
          </w:p>
          <w:p w14:paraId="19069E26" w14:textId="77777777" w:rsidR="00F8350C" w:rsidRPr="00F8350C" w:rsidRDefault="00F8350C" w:rsidP="005A0D5C">
            <w:pPr>
              <w:contextualSpacing/>
              <w:rPr>
                <w:rFonts w:ascii="Verdana" w:hAnsi="Verdana"/>
                <w:sz w:val="20"/>
                <w:szCs w:val="20"/>
                <w:lang w:val="sr-Latn-RS"/>
              </w:rPr>
            </w:pPr>
          </w:p>
        </w:tc>
        <w:tc>
          <w:tcPr>
            <w:tcW w:w="1165" w:type="dxa"/>
          </w:tcPr>
          <w:p w14:paraId="2DEDE43C" w14:textId="08085E89" w:rsidR="00F8350C" w:rsidRPr="00F8350C" w:rsidRDefault="008E3679" w:rsidP="005A0D5C">
            <w:pPr>
              <w:contextualSpacing/>
              <w:jc w:val="right"/>
              <w:rPr>
                <w:rFonts w:ascii="Verdana" w:hAnsi="Verdana"/>
                <w:sz w:val="20"/>
                <w:szCs w:val="20"/>
                <w:lang w:val="sr-Latn-RS"/>
              </w:rPr>
            </w:pPr>
            <w:r>
              <w:rPr>
                <w:rFonts w:ascii="Verdana" w:hAnsi="Verdana"/>
                <w:sz w:val="20"/>
                <w:szCs w:val="20"/>
                <w:lang w:val="sr-Latn-RS"/>
              </w:rPr>
              <w:t>30 pieces</w:t>
            </w:r>
          </w:p>
        </w:tc>
      </w:tr>
      <w:tr w:rsidR="00F8350C" w:rsidRPr="00F8350C" w14:paraId="61E2BF9A" w14:textId="77777777" w:rsidTr="005A0D5C">
        <w:tc>
          <w:tcPr>
            <w:tcW w:w="520" w:type="dxa"/>
          </w:tcPr>
          <w:p w14:paraId="78ED0DFE"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3.</w:t>
            </w:r>
          </w:p>
        </w:tc>
        <w:tc>
          <w:tcPr>
            <w:tcW w:w="6225" w:type="dxa"/>
          </w:tcPr>
          <w:p w14:paraId="393EC787" w14:textId="734FC4D9" w:rsidR="00F8350C" w:rsidRPr="00F8350C" w:rsidRDefault="008E3679" w:rsidP="005A0D5C">
            <w:pPr>
              <w:rPr>
                <w:rFonts w:ascii="Verdana" w:hAnsi="Verdana"/>
                <w:sz w:val="20"/>
                <w:szCs w:val="20"/>
              </w:rPr>
            </w:pPr>
            <w:r>
              <w:rPr>
                <w:rFonts w:ascii="Verdana" w:hAnsi="Verdana"/>
                <w:sz w:val="20"/>
                <w:szCs w:val="20"/>
                <w:lang w:val="sr-Cyrl-RS"/>
              </w:rPr>
              <w:t>Мotor air blowers</w:t>
            </w:r>
          </w:p>
          <w:p w14:paraId="3879626E" w14:textId="77777777" w:rsidR="00F8350C" w:rsidRPr="00F8350C" w:rsidRDefault="00F8350C" w:rsidP="005A0D5C">
            <w:pPr>
              <w:contextualSpacing/>
              <w:rPr>
                <w:rFonts w:ascii="Verdana" w:hAnsi="Verdana"/>
                <w:sz w:val="20"/>
                <w:szCs w:val="20"/>
                <w:lang w:val="sr-Latn-RS"/>
              </w:rPr>
            </w:pPr>
          </w:p>
        </w:tc>
        <w:tc>
          <w:tcPr>
            <w:tcW w:w="1165" w:type="dxa"/>
          </w:tcPr>
          <w:p w14:paraId="23C1EE61" w14:textId="1CAE2CE0" w:rsidR="00F8350C" w:rsidRPr="00F8350C" w:rsidRDefault="008E3679" w:rsidP="005A0D5C">
            <w:pPr>
              <w:contextualSpacing/>
              <w:jc w:val="right"/>
              <w:rPr>
                <w:rFonts w:ascii="Verdana" w:hAnsi="Verdana"/>
                <w:sz w:val="20"/>
                <w:szCs w:val="20"/>
                <w:lang w:val="sr-Latn-RS"/>
              </w:rPr>
            </w:pPr>
            <w:r>
              <w:rPr>
                <w:rFonts w:ascii="Verdana" w:hAnsi="Verdana"/>
                <w:sz w:val="20"/>
                <w:szCs w:val="20"/>
                <w:lang w:val="sr-Latn-RS"/>
              </w:rPr>
              <w:t>15 pieces</w:t>
            </w:r>
          </w:p>
        </w:tc>
      </w:tr>
      <w:tr w:rsidR="00F8350C" w:rsidRPr="00F8350C" w14:paraId="0B90C069" w14:textId="77777777" w:rsidTr="005A0D5C">
        <w:tc>
          <w:tcPr>
            <w:tcW w:w="520" w:type="dxa"/>
          </w:tcPr>
          <w:p w14:paraId="52DD51E8"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4.</w:t>
            </w:r>
          </w:p>
        </w:tc>
        <w:tc>
          <w:tcPr>
            <w:tcW w:w="6225" w:type="dxa"/>
          </w:tcPr>
          <w:p w14:paraId="0F9C1EC1" w14:textId="0FAF0907" w:rsidR="00F8350C" w:rsidRPr="00F8350C" w:rsidRDefault="008E3679" w:rsidP="005A0D5C">
            <w:pPr>
              <w:rPr>
                <w:rFonts w:ascii="Verdana" w:hAnsi="Verdana"/>
                <w:sz w:val="20"/>
                <w:szCs w:val="20"/>
              </w:rPr>
            </w:pPr>
            <w:r>
              <w:rPr>
                <w:rFonts w:ascii="Verdana" w:hAnsi="Verdana"/>
                <w:sz w:val="20"/>
                <w:szCs w:val="20"/>
                <w:lang w:val="sr-Latn-RS"/>
              </w:rPr>
              <w:t xml:space="preserve">Chainsaw </w:t>
            </w:r>
          </w:p>
          <w:p w14:paraId="7354940C" w14:textId="77777777" w:rsidR="00F8350C" w:rsidRPr="00F8350C" w:rsidRDefault="00F8350C" w:rsidP="005A0D5C">
            <w:pPr>
              <w:contextualSpacing/>
              <w:rPr>
                <w:rFonts w:ascii="Verdana" w:hAnsi="Verdana"/>
                <w:sz w:val="20"/>
                <w:szCs w:val="20"/>
                <w:lang w:val="sr-Latn-RS"/>
              </w:rPr>
            </w:pPr>
          </w:p>
        </w:tc>
        <w:tc>
          <w:tcPr>
            <w:tcW w:w="1165" w:type="dxa"/>
          </w:tcPr>
          <w:p w14:paraId="0EC08A92" w14:textId="3EDC01AA" w:rsidR="00F8350C" w:rsidRPr="00F8350C" w:rsidRDefault="008E3679" w:rsidP="005A0D5C">
            <w:pPr>
              <w:contextualSpacing/>
              <w:jc w:val="right"/>
              <w:rPr>
                <w:rFonts w:ascii="Verdana" w:hAnsi="Verdana"/>
                <w:sz w:val="20"/>
                <w:szCs w:val="20"/>
                <w:lang w:val="sr-Latn-RS"/>
              </w:rPr>
            </w:pPr>
            <w:r>
              <w:rPr>
                <w:rFonts w:ascii="Verdana" w:hAnsi="Verdana"/>
                <w:sz w:val="20"/>
                <w:szCs w:val="20"/>
                <w:lang w:val="sr-Latn-RS"/>
              </w:rPr>
              <w:t>10 pieces</w:t>
            </w:r>
          </w:p>
        </w:tc>
      </w:tr>
      <w:tr w:rsidR="00F8350C" w:rsidRPr="00F8350C" w14:paraId="3ED05CEF" w14:textId="77777777" w:rsidTr="005A0D5C">
        <w:tc>
          <w:tcPr>
            <w:tcW w:w="520" w:type="dxa"/>
          </w:tcPr>
          <w:p w14:paraId="4B32268E"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5.</w:t>
            </w:r>
          </w:p>
        </w:tc>
        <w:tc>
          <w:tcPr>
            <w:tcW w:w="6225" w:type="dxa"/>
          </w:tcPr>
          <w:p w14:paraId="5DFDE815" w14:textId="2FD558A9" w:rsidR="00F8350C" w:rsidRPr="00F8350C" w:rsidRDefault="008E3679" w:rsidP="005A0D5C">
            <w:pPr>
              <w:rPr>
                <w:rFonts w:ascii="Verdana" w:hAnsi="Verdana"/>
                <w:sz w:val="20"/>
                <w:szCs w:val="20"/>
              </w:rPr>
            </w:pPr>
            <w:r>
              <w:rPr>
                <w:rFonts w:ascii="Verdana" w:hAnsi="Verdana"/>
                <w:sz w:val="20"/>
                <w:szCs w:val="20"/>
                <w:lang w:val="sr-Latn-RS"/>
              </w:rPr>
              <w:t>Тelescopic chain saw</w:t>
            </w:r>
          </w:p>
          <w:p w14:paraId="70BD46F1" w14:textId="77777777" w:rsidR="00F8350C" w:rsidRPr="00F8350C" w:rsidRDefault="00F8350C" w:rsidP="005A0D5C">
            <w:pPr>
              <w:contextualSpacing/>
              <w:rPr>
                <w:rFonts w:ascii="Verdana" w:hAnsi="Verdana"/>
                <w:sz w:val="20"/>
                <w:szCs w:val="20"/>
                <w:lang w:val="sr-Latn-RS"/>
              </w:rPr>
            </w:pPr>
          </w:p>
        </w:tc>
        <w:tc>
          <w:tcPr>
            <w:tcW w:w="1165" w:type="dxa"/>
          </w:tcPr>
          <w:p w14:paraId="2857792C" w14:textId="2BBDADE7" w:rsidR="00F8350C" w:rsidRPr="00F8350C" w:rsidRDefault="008E3679" w:rsidP="005A0D5C">
            <w:pPr>
              <w:contextualSpacing/>
              <w:jc w:val="right"/>
              <w:rPr>
                <w:rFonts w:ascii="Verdana" w:hAnsi="Verdana"/>
                <w:sz w:val="20"/>
                <w:szCs w:val="20"/>
                <w:lang w:val="sr-Latn-RS"/>
              </w:rPr>
            </w:pPr>
            <w:r>
              <w:rPr>
                <w:rFonts w:ascii="Verdana" w:hAnsi="Verdana"/>
                <w:sz w:val="20"/>
                <w:szCs w:val="20"/>
                <w:lang w:val="sr-Latn-RS"/>
              </w:rPr>
              <w:t>01 piece</w:t>
            </w:r>
          </w:p>
        </w:tc>
      </w:tr>
      <w:tr w:rsidR="00F8350C" w:rsidRPr="00F8350C" w14:paraId="317D9AB2" w14:textId="77777777" w:rsidTr="005A0D5C">
        <w:tc>
          <w:tcPr>
            <w:tcW w:w="520" w:type="dxa"/>
          </w:tcPr>
          <w:p w14:paraId="5A8A0F65"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6.</w:t>
            </w:r>
          </w:p>
        </w:tc>
        <w:tc>
          <w:tcPr>
            <w:tcW w:w="6225" w:type="dxa"/>
          </w:tcPr>
          <w:p w14:paraId="7D7D75F9" w14:textId="0B2691EA" w:rsidR="00F8350C" w:rsidRPr="00F8350C" w:rsidRDefault="008E3679" w:rsidP="005A0D5C">
            <w:pPr>
              <w:rPr>
                <w:rFonts w:ascii="Verdana" w:hAnsi="Verdana"/>
                <w:sz w:val="20"/>
                <w:szCs w:val="20"/>
              </w:rPr>
            </w:pPr>
            <w:r>
              <w:rPr>
                <w:rFonts w:ascii="Verdana" w:hAnsi="Verdana"/>
                <w:sz w:val="20"/>
                <w:szCs w:val="20"/>
                <w:lang w:val="sr-Latn-RS"/>
              </w:rPr>
              <w:t>A small freight vehicle (pickup van, havy duty tricycle etc)</w:t>
            </w:r>
            <w:r w:rsidR="00F8350C" w:rsidRPr="00F8350C">
              <w:rPr>
                <w:rFonts w:ascii="Verdana" w:hAnsi="Verdana"/>
                <w:sz w:val="20"/>
                <w:szCs w:val="20"/>
                <w:lang w:val="sr-Latn-RS"/>
              </w:rPr>
              <w:t>)</w:t>
            </w:r>
          </w:p>
          <w:p w14:paraId="5123BAF5" w14:textId="77777777" w:rsidR="00F8350C" w:rsidRPr="00F8350C" w:rsidRDefault="00F8350C" w:rsidP="005A0D5C">
            <w:pPr>
              <w:contextualSpacing/>
              <w:rPr>
                <w:rFonts w:ascii="Verdana" w:hAnsi="Verdana"/>
                <w:sz w:val="20"/>
                <w:szCs w:val="20"/>
                <w:lang w:val="sr-Latn-RS"/>
              </w:rPr>
            </w:pPr>
          </w:p>
        </w:tc>
        <w:tc>
          <w:tcPr>
            <w:tcW w:w="1165" w:type="dxa"/>
          </w:tcPr>
          <w:p w14:paraId="62C81940" w14:textId="68CB03EA" w:rsidR="00F8350C" w:rsidRPr="00F8350C" w:rsidRDefault="008E3679" w:rsidP="005A0D5C">
            <w:pPr>
              <w:contextualSpacing/>
              <w:jc w:val="right"/>
              <w:rPr>
                <w:rFonts w:ascii="Verdana" w:hAnsi="Verdana"/>
                <w:sz w:val="20"/>
                <w:szCs w:val="20"/>
                <w:lang w:val="sr-Latn-RS"/>
              </w:rPr>
            </w:pPr>
            <w:r>
              <w:rPr>
                <w:rFonts w:ascii="Verdana" w:hAnsi="Verdana"/>
                <w:sz w:val="20"/>
                <w:szCs w:val="20"/>
                <w:lang w:val="sr-Latn-RS"/>
              </w:rPr>
              <w:t>15 pieces</w:t>
            </w:r>
          </w:p>
        </w:tc>
      </w:tr>
      <w:tr w:rsidR="00F8350C" w:rsidRPr="00F8350C" w14:paraId="1D85DB93" w14:textId="77777777" w:rsidTr="005A0D5C">
        <w:tc>
          <w:tcPr>
            <w:tcW w:w="520" w:type="dxa"/>
          </w:tcPr>
          <w:p w14:paraId="3AA46E77"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7.</w:t>
            </w:r>
          </w:p>
        </w:tc>
        <w:tc>
          <w:tcPr>
            <w:tcW w:w="6225" w:type="dxa"/>
          </w:tcPr>
          <w:p w14:paraId="512E8FDD" w14:textId="2E0A8A6A" w:rsidR="00F8350C" w:rsidRPr="00F8350C" w:rsidRDefault="008E3679" w:rsidP="005A0D5C">
            <w:pPr>
              <w:rPr>
                <w:rFonts w:ascii="Verdana" w:hAnsi="Verdana"/>
                <w:sz w:val="20"/>
                <w:szCs w:val="20"/>
              </w:rPr>
            </w:pPr>
            <w:r>
              <w:rPr>
                <w:rFonts w:ascii="Verdana" w:hAnsi="Verdana"/>
                <w:sz w:val="20"/>
                <w:szCs w:val="20"/>
                <w:lang w:val="sr-Latn-RS"/>
              </w:rPr>
              <w:t>Freight vehicle for workers’ transportation</w:t>
            </w:r>
          </w:p>
          <w:p w14:paraId="0251F9D0" w14:textId="77777777" w:rsidR="00F8350C" w:rsidRPr="00F8350C" w:rsidRDefault="00F8350C" w:rsidP="005A0D5C">
            <w:pPr>
              <w:contextualSpacing/>
              <w:rPr>
                <w:rFonts w:ascii="Verdana" w:hAnsi="Verdana"/>
                <w:sz w:val="20"/>
                <w:szCs w:val="20"/>
                <w:lang w:val="sr-Latn-RS"/>
              </w:rPr>
            </w:pPr>
          </w:p>
        </w:tc>
        <w:tc>
          <w:tcPr>
            <w:tcW w:w="1165" w:type="dxa"/>
          </w:tcPr>
          <w:p w14:paraId="1DE962F4" w14:textId="037FCEC2" w:rsidR="00F8350C" w:rsidRPr="00F8350C" w:rsidRDefault="008E3679" w:rsidP="005A0D5C">
            <w:pPr>
              <w:contextualSpacing/>
              <w:jc w:val="right"/>
              <w:rPr>
                <w:rFonts w:ascii="Verdana" w:hAnsi="Verdana"/>
                <w:sz w:val="20"/>
                <w:szCs w:val="20"/>
                <w:lang w:val="sr-Latn-RS"/>
              </w:rPr>
            </w:pPr>
            <w:r>
              <w:rPr>
                <w:rFonts w:ascii="Verdana" w:hAnsi="Verdana"/>
                <w:sz w:val="20"/>
                <w:szCs w:val="20"/>
                <w:lang w:val="sr-Latn-RS"/>
              </w:rPr>
              <w:t>05 pieces</w:t>
            </w:r>
          </w:p>
        </w:tc>
      </w:tr>
      <w:tr w:rsidR="00F8350C" w:rsidRPr="00F8350C" w14:paraId="6D1A023D" w14:textId="77777777" w:rsidTr="005A0D5C">
        <w:tc>
          <w:tcPr>
            <w:tcW w:w="520" w:type="dxa"/>
          </w:tcPr>
          <w:p w14:paraId="334551F9"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8.</w:t>
            </w:r>
          </w:p>
        </w:tc>
        <w:tc>
          <w:tcPr>
            <w:tcW w:w="6225" w:type="dxa"/>
          </w:tcPr>
          <w:p w14:paraId="05668072" w14:textId="538B3525" w:rsidR="00F8350C" w:rsidRPr="00F8350C" w:rsidRDefault="00F8350C" w:rsidP="005A0D5C">
            <w:pPr>
              <w:rPr>
                <w:rFonts w:ascii="Verdana" w:hAnsi="Verdana"/>
                <w:sz w:val="20"/>
                <w:szCs w:val="20"/>
                <w:lang w:val="sr-Latn-RS"/>
              </w:rPr>
            </w:pPr>
            <w:r w:rsidRPr="00F8350C">
              <w:rPr>
                <w:rFonts w:ascii="Verdana" w:hAnsi="Verdana"/>
                <w:sz w:val="20"/>
                <w:szCs w:val="20"/>
                <w:lang w:val="sr-Latn-RS"/>
              </w:rPr>
              <w:t>3,5 до 6t</w:t>
            </w:r>
            <w:r w:rsidR="00A82D64">
              <w:rPr>
                <w:rFonts w:ascii="Verdana" w:hAnsi="Verdana"/>
                <w:sz w:val="20"/>
                <w:szCs w:val="20"/>
                <w:lang w:val="sr-Latn-RS"/>
              </w:rPr>
              <w:t xml:space="preserve"> freight vehicle the load capacity of 3.5 to 6 t</w:t>
            </w:r>
          </w:p>
          <w:p w14:paraId="485A57BA" w14:textId="77777777" w:rsidR="00F8350C" w:rsidRPr="00F8350C" w:rsidRDefault="00F8350C" w:rsidP="005A0D5C">
            <w:pPr>
              <w:rPr>
                <w:rFonts w:ascii="Verdana" w:hAnsi="Verdana"/>
                <w:sz w:val="20"/>
                <w:szCs w:val="20"/>
              </w:rPr>
            </w:pPr>
          </w:p>
        </w:tc>
        <w:tc>
          <w:tcPr>
            <w:tcW w:w="1165" w:type="dxa"/>
          </w:tcPr>
          <w:p w14:paraId="4CE44AE5" w14:textId="2C878692" w:rsidR="00F8350C" w:rsidRPr="00F8350C" w:rsidRDefault="00A82D64" w:rsidP="005A0D5C">
            <w:pPr>
              <w:contextualSpacing/>
              <w:jc w:val="right"/>
              <w:rPr>
                <w:rFonts w:ascii="Verdana" w:hAnsi="Verdana"/>
                <w:sz w:val="20"/>
                <w:szCs w:val="20"/>
                <w:lang w:val="sr-Latn-RS"/>
              </w:rPr>
            </w:pPr>
            <w:r>
              <w:rPr>
                <w:rFonts w:ascii="Verdana" w:hAnsi="Verdana"/>
                <w:sz w:val="20"/>
                <w:szCs w:val="20"/>
                <w:lang w:val="sr-Latn-RS"/>
              </w:rPr>
              <w:t>01 piece</w:t>
            </w:r>
          </w:p>
        </w:tc>
      </w:tr>
      <w:tr w:rsidR="00F8350C" w:rsidRPr="00F8350C" w14:paraId="308EE34A" w14:textId="77777777" w:rsidTr="005A0D5C">
        <w:tc>
          <w:tcPr>
            <w:tcW w:w="520" w:type="dxa"/>
          </w:tcPr>
          <w:p w14:paraId="19D4D034"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9.</w:t>
            </w:r>
          </w:p>
        </w:tc>
        <w:tc>
          <w:tcPr>
            <w:tcW w:w="6225" w:type="dxa"/>
          </w:tcPr>
          <w:p w14:paraId="1444200D" w14:textId="1B7034CD" w:rsidR="00F8350C" w:rsidRPr="00F8350C" w:rsidRDefault="00C7608C" w:rsidP="005A0D5C">
            <w:pPr>
              <w:jc w:val="both"/>
              <w:rPr>
                <w:rFonts w:ascii="Verdana" w:hAnsi="Verdana"/>
                <w:sz w:val="20"/>
                <w:szCs w:val="20"/>
                <w:lang w:val="sr-Latn-RS"/>
              </w:rPr>
            </w:pPr>
            <w:r>
              <w:rPr>
                <w:rFonts w:ascii="Verdana" w:hAnsi="Verdana"/>
                <w:sz w:val="20"/>
                <w:szCs w:val="20"/>
                <w:lang w:val="sr-Latn-RS"/>
              </w:rPr>
              <w:t>A cistern with the street washing equipment, the capacity of min 8m3A</w:t>
            </w:r>
          </w:p>
          <w:p w14:paraId="148E5F4D" w14:textId="77777777" w:rsidR="00F8350C" w:rsidRPr="00F8350C" w:rsidRDefault="00F8350C" w:rsidP="005A0D5C">
            <w:pPr>
              <w:contextualSpacing/>
              <w:rPr>
                <w:rFonts w:ascii="Verdana" w:hAnsi="Verdana"/>
                <w:sz w:val="20"/>
                <w:szCs w:val="20"/>
                <w:lang w:val="sr-Latn-RS"/>
              </w:rPr>
            </w:pPr>
          </w:p>
        </w:tc>
        <w:tc>
          <w:tcPr>
            <w:tcW w:w="1165" w:type="dxa"/>
          </w:tcPr>
          <w:p w14:paraId="34EAD8E0" w14:textId="0A3D6308" w:rsidR="00F8350C" w:rsidRPr="00F8350C" w:rsidRDefault="00D04E50" w:rsidP="005A0D5C">
            <w:pPr>
              <w:contextualSpacing/>
              <w:jc w:val="right"/>
              <w:rPr>
                <w:rFonts w:ascii="Verdana" w:hAnsi="Verdana"/>
                <w:sz w:val="20"/>
                <w:szCs w:val="20"/>
                <w:lang w:val="sr-Latn-RS"/>
              </w:rPr>
            </w:pPr>
            <w:r>
              <w:rPr>
                <w:rFonts w:ascii="Verdana" w:hAnsi="Verdana"/>
                <w:sz w:val="20"/>
                <w:szCs w:val="20"/>
                <w:lang w:val="sr-Latn-RS"/>
              </w:rPr>
              <w:t>02</w:t>
            </w:r>
            <w:r w:rsidR="00C7608C">
              <w:rPr>
                <w:rFonts w:ascii="Verdana" w:hAnsi="Verdana"/>
                <w:sz w:val="20"/>
                <w:szCs w:val="20"/>
                <w:lang w:val="sr-Latn-RS"/>
              </w:rPr>
              <w:t xml:space="preserve"> pieces</w:t>
            </w:r>
          </w:p>
        </w:tc>
      </w:tr>
      <w:tr w:rsidR="00F8350C" w:rsidRPr="00F8350C" w14:paraId="4BD8A97B" w14:textId="77777777" w:rsidTr="005A0D5C">
        <w:tc>
          <w:tcPr>
            <w:tcW w:w="520" w:type="dxa"/>
          </w:tcPr>
          <w:p w14:paraId="74B26685"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10.</w:t>
            </w:r>
          </w:p>
        </w:tc>
        <w:tc>
          <w:tcPr>
            <w:tcW w:w="6225" w:type="dxa"/>
          </w:tcPr>
          <w:p w14:paraId="7B13F7F2" w14:textId="3FB22FF9" w:rsidR="00F8350C" w:rsidRPr="003E2792" w:rsidRDefault="00C7608C" w:rsidP="005A0D5C">
            <w:pPr>
              <w:jc w:val="both"/>
              <w:rPr>
                <w:rFonts w:ascii="Verdana" w:hAnsi="Verdana"/>
                <w:sz w:val="20"/>
                <w:szCs w:val="20"/>
                <w:lang w:val="sr-Latn-RS"/>
              </w:rPr>
            </w:pPr>
            <w:r>
              <w:rPr>
                <w:rFonts w:ascii="Verdana" w:hAnsi="Verdana"/>
                <w:sz w:val="20"/>
                <w:szCs w:val="20"/>
                <w:lang w:val="sr-Latn-RS"/>
              </w:rPr>
              <w:t>Operating machine</w:t>
            </w:r>
            <w:r>
              <w:rPr>
                <w:rFonts w:ascii="Verdana" w:hAnsi="Verdana"/>
                <w:sz w:val="20"/>
                <w:szCs w:val="20"/>
                <w:lang w:val="sr-Cyrl-RS"/>
              </w:rPr>
              <w:t xml:space="preserve"> (specialized communal</w:t>
            </w:r>
            <w:r w:rsidR="003E2792">
              <w:rPr>
                <w:rFonts w:ascii="Verdana" w:hAnsi="Verdana"/>
                <w:sz w:val="20"/>
                <w:szCs w:val="20"/>
                <w:lang w:val="sr-Latn-RS"/>
              </w:rPr>
              <w:t xml:space="preserve"> operating machine with a snow plow</w:t>
            </w:r>
            <w:r w:rsidR="00F8350C" w:rsidRPr="00F8350C">
              <w:rPr>
                <w:rFonts w:ascii="Verdana" w:hAnsi="Verdana"/>
                <w:sz w:val="20"/>
                <w:szCs w:val="20"/>
                <w:lang w:val="sr-Cyrl-RS"/>
              </w:rPr>
              <w:t xml:space="preserve">, </w:t>
            </w:r>
            <w:r w:rsidR="003E2792">
              <w:rPr>
                <w:rFonts w:ascii="Verdana" w:hAnsi="Verdana"/>
                <w:sz w:val="20"/>
                <w:szCs w:val="20"/>
                <w:lang w:val="sr-Latn-RS"/>
              </w:rPr>
              <w:t>a salt or an ice melt  spreader and mowing devices (mulchers)</w:t>
            </w:r>
            <w:r w:rsidR="003E2792">
              <w:rPr>
                <w:rFonts w:ascii="Verdana" w:hAnsi="Verdana"/>
                <w:sz w:val="20"/>
                <w:szCs w:val="20"/>
                <w:lang w:val="sr-Cyrl-RS"/>
              </w:rPr>
              <w:t xml:space="preserve">- </w:t>
            </w:r>
            <w:r w:rsidR="003E2792">
              <w:rPr>
                <w:rFonts w:ascii="Verdana" w:hAnsi="Verdana"/>
                <w:sz w:val="20"/>
                <w:szCs w:val="20"/>
                <w:lang w:val="sr-Latn-RS"/>
              </w:rPr>
              <w:t>Unimog or similar</w:t>
            </w:r>
          </w:p>
          <w:p w14:paraId="481BF407" w14:textId="77777777" w:rsidR="00F8350C" w:rsidRPr="00F8350C" w:rsidRDefault="00F8350C" w:rsidP="005A0D5C">
            <w:pPr>
              <w:contextualSpacing/>
              <w:rPr>
                <w:rFonts w:ascii="Verdana" w:hAnsi="Verdana"/>
                <w:sz w:val="20"/>
                <w:szCs w:val="20"/>
                <w:lang w:val="sr-Latn-RS"/>
              </w:rPr>
            </w:pPr>
          </w:p>
        </w:tc>
        <w:tc>
          <w:tcPr>
            <w:tcW w:w="1165" w:type="dxa"/>
          </w:tcPr>
          <w:p w14:paraId="736D86C8" w14:textId="446934E6" w:rsidR="00F8350C" w:rsidRPr="00F8350C" w:rsidRDefault="003E2792" w:rsidP="005A0D5C">
            <w:pPr>
              <w:contextualSpacing/>
              <w:jc w:val="right"/>
              <w:rPr>
                <w:rFonts w:ascii="Verdana" w:hAnsi="Verdana"/>
                <w:sz w:val="20"/>
                <w:szCs w:val="20"/>
                <w:lang w:val="sr-Latn-RS"/>
              </w:rPr>
            </w:pPr>
            <w:r>
              <w:rPr>
                <w:rFonts w:ascii="Verdana" w:hAnsi="Verdana"/>
                <w:sz w:val="20"/>
                <w:szCs w:val="20"/>
                <w:lang w:val="sr-Latn-RS"/>
              </w:rPr>
              <w:t>01 piece</w:t>
            </w:r>
          </w:p>
        </w:tc>
      </w:tr>
      <w:tr w:rsidR="00F8350C" w:rsidRPr="00F8350C" w14:paraId="683CD323" w14:textId="77777777" w:rsidTr="005A0D5C">
        <w:tc>
          <w:tcPr>
            <w:tcW w:w="520" w:type="dxa"/>
          </w:tcPr>
          <w:p w14:paraId="51EAB337"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11.</w:t>
            </w:r>
          </w:p>
        </w:tc>
        <w:tc>
          <w:tcPr>
            <w:tcW w:w="6225" w:type="dxa"/>
          </w:tcPr>
          <w:p w14:paraId="33EA3586" w14:textId="6304F17D" w:rsidR="00F8350C" w:rsidRPr="00F8350C" w:rsidRDefault="003E2792" w:rsidP="005A0D5C">
            <w:pPr>
              <w:rPr>
                <w:rFonts w:ascii="Verdana" w:hAnsi="Verdana"/>
                <w:sz w:val="20"/>
                <w:szCs w:val="20"/>
              </w:rPr>
            </w:pPr>
            <w:r>
              <w:rPr>
                <w:rFonts w:ascii="Verdana" w:hAnsi="Verdana"/>
                <w:sz w:val="20"/>
                <w:szCs w:val="20"/>
                <w:lang w:val="sr-Latn-RS"/>
              </w:rPr>
              <w:t>Combined construction machine</w:t>
            </w:r>
          </w:p>
          <w:p w14:paraId="3B1428C7" w14:textId="77777777" w:rsidR="00F8350C" w:rsidRPr="00F8350C" w:rsidRDefault="00F8350C" w:rsidP="005A0D5C">
            <w:pPr>
              <w:contextualSpacing/>
              <w:rPr>
                <w:rFonts w:ascii="Verdana" w:hAnsi="Verdana"/>
                <w:sz w:val="20"/>
                <w:szCs w:val="20"/>
                <w:lang w:val="sr-Latn-RS"/>
              </w:rPr>
            </w:pPr>
          </w:p>
        </w:tc>
        <w:tc>
          <w:tcPr>
            <w:tcW w:w="1165" w:type="dxa"/>
          </w:tcPr>
          <w:p w14:paraId="0F6D1EA2" w14:textId="732061B1" w:rsidR="00F8350C" w:rsidRPr="00F8350C" w:rsidRDefault="003E2792" w:rsidP="005A0D5C">
            <w:pPr>
              <w:contextualSpacing/>
              <w:jc w:val="right"/>
              <w:rPr>
                <w:rFonts w:ascii="Verdana" w:hAnsi="Verdana"/>
                <w:sz w:val="20"/>
                <w:szCs w:val="20"/>
                <w:lang w:val="sr-Latn-RS"/>
              </w:rPr>
            </w:pPr>
            <w:r>
              <w:rPr>
                <w:rFonts w:ascii="Verdana" w:hAnsi="Verdana"/>
                <w:sz w:val="20"/>
                <w:szCs w:val="20"/>
                <w:lang w:val="sr-Latn-RS"/>
              </w:rPr>
              <w:t>01 piece</w:t>
            </w:r>
          </w:p>
        </w:tc>
      </w:tr>
      <w:tr w:rsidR="00F8350C" w:rsidRPr="00F8350C" w14:paraId="1AF71F74" w14:textId="77777777" w:rsidTr="005A0D5C">
        <w:tc>
          <w:tcPr>
            <w:tcW w:w="520" w:type="dxa"/>
          </w:tcPr>
          <w:p w14:paraId="007CDEF4"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12.</w:t>
            </w:r>
          </w:p>
        </w:tc>
        <w:tc>
          <w:tcPr>
            <w:tcW w:w="6225" w:type="dxa"/>
          </w:tcPr>
          <w:p w14:paraId="5181E612" w14:textId="49BF617D" w:rsidR="00F8350C" w:rsidRPr="00F8350C" w:rsidRDefault="003E2792" w:rsidP="005A0D5C">
            <w:pPr>
              <w:rPr>
                <w:rFonts w:ascii="Verdana" w:hAnsi="Verdana"/>
                <w:sz w:val="20"/>
                <w:szCs w:val="20"/>
              </w:rPr>
            </w:pPr>
            <w:r>
              <w:rPr>
                <w:rFonts w:ascii="Verdana" w:hAnsi="Verdana"/>
                <w:sz w:val="20"/>
                <w:szCs w:val="20"/>
                <w:lang w:val="sr-Latn-RS"/>
              </w:rPr>
              <w:t>Roto wash machine for cleaning and vacuuming with rotating brushes</w:t>
            </w:r>
          </w:p>
          <w:p w14:paraId="7F64198D" w14:textId="77777777" w:rsidR="00F8350C" w:rsidRPr="00F8350C" w:rsidRDefault="00F8350C" w:rsidP="005A0D5C">
            <w:pPr>
              <w:contextualSpacing/>
              <w:rPr>
                <w:rFonts w:ascii="Verdana" w:hAnsi="Verdana"/>
                <w:sz w:val="20"/>
                <w:szCs w:val="20"/>
                <w:lang w:val="sr-Latn-RS"/>
              </w:rPr>
            </w:pPr>
          </w:p>
        </w:tc>
        <w:tc>
          <w:tcPr>
            <w:tcW w:w="1165" w:type="dxa"/>
          </w:tcPr>
          <w:p w14:paraId="3E3539CC" w14:textId="1E24F1EC" w:rsidR="00F8350C" w:rsidRPr="00F8350C" w:rsidRDefault="00082634" w:rsidP="005A0D5C">
            <w:pPr>
              <w:contextualSpacing/>
              <w:jc w:val="right"/>
              <w:rPr>
                <w:rFonts w:ascii="Verdana" w:hAnsi="Verdana"/>
                <w:sz w:val="20"/>
                <w:szCs w:val="20"/>
                <w:lang w:val="sr-Latn-RS"/>
              </w:rPr>
            </w:pPr>
            <w:r>
              <w:rPr>
                <w:rFonts w:ascii="Verdana" w:hAnsi="Verdana"/>
                <w:sz w:val="20"/>
                <w:szCs w:val="20"/>
                <w:lang w:val="sr-Latn-RS"/>
              </w:rPr>
              <w:t>02 pieces</w:t>
            </w:r>
          </w:p>
        </w:tc>
      </w:tr>
      <w:tr w:rsidR="00F8350C" w:rsidRPr="00F8350C" w14:paraId="4084AFD7" w14:textId="77777777" w:rsidTr="005A0D5C">
        <w:tc>
          <w:tcPr>
            <w:tcW w:w="520" w:type="dxa"/>
          </w:tcPr>
          <w:p w14:paraId="157E5E8A"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13.</w:t>
            </w:r>
          </w:p>
        </w:tc>
        <w:tc>
          <w:tcPr>
            <w:tcW w:w="6225" w:type="dxa"/>
          </w:tcPr>
          <w:p w14:paraId="2BFD8CDB" w14:textId="64C54995" w:rsidR="00F8350C" w:rsidRPr="00F8350C" w:rsidRDefault="00082634" w:rsidP="005A0D5C">
            <w:pPr>
              <w:rPr>
                <w:rFonts w:ascii="Verdana" w:hAnsi="Verdana"/>
                <w:sz w:val="20"/>
                <w:szCs w:val="20"/>
              </w:rPr>
            </w:pPr>
            <w:r>
              <w:rPr>
                <w:rFonts w:ascii="Verdana" w:hAnsi="Verdana"/>
                <w:sz w:val="20"/>
                <w:szCs w:val="20"/>
                <w:lang w:val="sr-Latn-RS"/>
              </w:rPr>
              <w:t xml:space="preserve">Small rotary cultivator/ motorcultivator </w:t>
            </w:r>
          </w:p>
          <w:p w14:paraId="3911744B" w14:textId="77777777" w:rsidR="00F8350C" w:rsidRPr="00F8350C" w:rsidRDefault="00F8350C" w:rsidP="005A0D5C">
            <w:pPr>
              <w:contextualSpacing/>
              <w:rPr>
                <w:rFonts w:ascii="Verdana" w:hAnsi="Verdana"/>
                <w:sz w:val="20"/>
                <w:szCs w:val="20"/>
                <w:lang w:val="sr-Latn-RS"/>
              </w:rPr>
            </w:pPr>
          </w:p>
        </w:tc>
        <w:tc>
          <w:tcPr>
            <w:tcW w:w="1165" w:type="dxa"/>
          </w:tcPr>
          <w:p w14:paraId="6DA726B4" w14:textId="3568AAC3" w:rsidR="00F8350C" w:rsidRPr="00F8350C" w:rsidRDefault="00082634" w:rsidP="005A0D5C">
            <w:pPr>
              <w:contextualSpacing/>
              <w:jc w:val="right"/>
              <w:rPr>
                <w:rFonts w:ascii="Verdana" w:hAnsi="Verdana"/>
                <w:sz w:val="20"/>
                <w:szCs w:val="20"/>
                <w:lang w:val="sr-Latn-RS"/>
              </w:rPr>
            </w:pPr>
            <w:r>
              <w:rPr>
                <w:rFonts w:ascii="Verdana" w:hAnsi="Verdana"/>
                <w:sz w:val="20"/>
                <w:szCs w:val="20"/>
                <w:lang w:val="sr-Latn-RS"/>
              </w:rPr>
              <w:t>03 pieces</w:t>
            </w:r>
          </w:p>
        </w:tc>
      </w:tr>
      <w:tr w:rsidR="00F8350C" w:rsidRPr="00F8350C" w14:paraId="42CD321F" w14:textId="77777777" w:rsidTr="005A0D5C">
        <w:tc>
          <w:tcPr>
            <w:tcW w:w="520" w:type="dxa"/>
          </w:tcPr>
          <w:p w14:paraId="3D5AAD0A"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14.</w:t>
            </w:r>
          </w:p>
        </w:tc>
        <w:tc>
          <w:tcPr>
            <w:tcW w:w="6225" w:type="dxa"/>
          </w:tcPr>
          <w:p w14:paraId="5AAD1B9E" w14:textId="610C921F" w:rsidR="00F8350C" w:rsidRPr="00F8350C" w:rsidRDefault="00082634" w:rsidP="005A0D5C">
            <w:pPr>
              <w:rPr>
                <w:rFonts w:ascii="Verdana" w:hAnsi="Verdana"/>
                <w:sz w:val="20"/>
                <w:szCs w:val="20"/>
              </w:rPr>
            </w:pPr>
            <w:r>
              <w:rPr>
                <w:rFonts w:ascii="Verdana" w:hAnsi="Verdana"/>
                <w:sz w:val="20"/>
                <w:szCs w:val="20"/>
                <w:lang w:val="sr-Latn-RS"/>
              </w:rPr>
              <w:t>Tractor</w:t>
            </w:r>
          </w:p>
          <w:p w14:paraId="3E096513" w14:textId="77777777" w:rsidR="00F8350C" w:rsidRPr="00F8350C" w:rsidRDefault="00F8350C" w:rsidP="005A0D5C">
            <w:pPr>
              <w:contextualSpacing/>
              <w:rPr>
                <w:rFonts w:ascii="Verdana" w:hAnsi="Verdana"/>
                <w:sz w:val="20"/>
                <w:szCs w:val="20"/>
                <w:lang w:val="sr-Latn-RS"/>
              </w:rPr>
            </w:pPr>
          </w:p>
        </w:tc>
        <w:tc>
          <w:tcPr>
            <w:tcW w:w="1165" w:type="dxa"/>
          </w:tcPr>
          <w:p w14:paraId="09775A3B" w14:textId="2C574D6D" w:rsidR="00F8350C" w:rsidRPr="00F8350C" w:rsidRDefault="00082634" w:rsidP="005A0D5C">
            <w:pPr>
              <w:contextualSpacing/>
              <w:jc w:val="right"/>
              <w:rPr>
                <w:rFonts w:ascii="Verdana" w:hAnsi="Verdana"/>
                <w:sz w:val="20"/>
                <w:szCs w:val="20"/>
                <w:lang w:val="sr-Latn-RS"/>
              </w:rPr>
            </w:pPr>
            <w:r>
              <w:rPr>
                <w:rFonts w:ascii="Verdana" w:hAnsi="Verdana"/>
                <w:sz w:val="20"/>
                <w:szCs w:val="20"/>
                <w:lang w:val="sr-Latn-RS"/>
              </w:rPr>
              <w:t>02 pieces</w:t>
            </w:r>
          </w:p>
        </w:tc>
      </w:tr>
      <w:tr w:rsidR="00F8350C" w:rsidRPr="00F8350C" w14:paraId="43F0D22F" w14:textId="77777777" w:rsidTr="005A0D5C">
        <w:tc>
          <w:tcPr>
            <w:tcW w:w="520" w:type="dxa"/>
          </w:tcPr>
          <w:p w14:paraId="55089AF0" w14:textId="77777777" w:rsidR="00F8350C" w:rsidRPr="00F8350C" w:rsidRDefault="00F8350C" w:rsidP="005A0D5C">
            <w:pPr>
              <w:contextualSpacing/>
              <w:rPr>
                <w:rFonts w:ascii="Verdana" w:hAnsi="Verdana"/>
                <w:sz w:val="20"/>
                <w:szCs w:val="20"/>
                <w:lang w:val="sr-Latn-RS"/>
              </w:rPr>
            </w:pPr>
            <w:r w:rsidRPr="00F8350C">
              <w:rPr>
                <w:rFonts w:ascii="Verdana" w:hAnsi="Verdana"/>
                <w:sz w:val="20"/>
                <w:szCs w:val="20"/>
                <w:lang w:val="sr-Latn-RS"/>
              </w:rPr>
              <w:t>15.</w:t>
            </w:r>
          </w:p>
        </w:tc>
        <w:tc>
          <w:tcPr>
            <w:tcW w:w="6225" w:type="dxa"/>
          </w:tcPr>
          <w:p w14:paraId="462CD48F" w14:textId="14EE375E" w:rsidR="00F8350C" w:rsidRPr="00F8350C" w:rsidRDefault="00082634" w:rsidP="005A0D5C">
            <w:pPr>
              <w:rPr>
                <w:rFonts w:ascii="Verdana" w:hAnsi="Verdana"/>
                <w:sz w:val="20"/>
                <w:szCs w:val="20"/>
              </w:rPr>
            </w:pPr>
            <w:r>
              <w:rPr>
                <w:rFonts w:ascii="Verdana" w:hAnsi="Verdana"/>
                <w:sz w:val="20"/>
                <w:szCs w:val="20"/>
                <w:lang w:val="sr-Latn-RS"/>
              </w:rPr>
              <w:t>Tractor mower</w:t>
            </w:r>
          </w:p>
          <w:p w14:paraId="40E356F4" w14:textId="77777777" w:rsidR="00F8350C" w:rsidRPr="00F8350C" w:rsidRDefault="00F8350C" w:rsidP="005A0D5C">
            <w:pPr>
              <w:contextualSpacing/>
              <w:rPr>
                <w:rFonts w:ascii="Verdana" w:hAnsi="Verdana"/>
                <w:sz w:val="20"/>
                <w:szCs w:val="20"/>
                <w:lang w:val="sr-Latn-RS"/>
              </w:rPr>
            </w:pPr>
          </w:p>
        </w:tc>
        <w:tc>
          <w:tcPr>
            <w:tcW w:w="1165" w:type="dxa"/>
          </w:tcPr>
          <w:p w14:paraId="6C8BA2C8" w14:textId="63CFE778" w:rsidR="00F8350C" w:rsidRPr="00F8350C" w:rsidRDefault="00082634" w:rsidP="005A0D5C">
            <w:pPr>
              <w:contextualSpacing/>
              <w:jc w:val="right"/>
              <w:rPr>
                <w:rFonts w:ascii="Verdana" w:hAnsi="Verdana"/>
                <w:sz w:val="20"/>
                <w:szCs w:val="20"/>
                <w:lang w:val="sr-Latn-RS"/>
              </w:rPr>
            </w:pPr>
            <w:r>
              <w:rPr>
                <w:rFonts w:ascii="Verdana" w:hAnsi="Verdana"/>
                <w:sz w:val="20"/>
                <w:szCs w:val="20"/>
                <w:lang w:val="sr-Latn-RS"/>
              </w:rPr>
              <w:t>03 pieces</w:t>
            </w:r>
          </w:p>
        </w:tc>
      </w:tr>
      <w:tr w:rsidR="00F8350C" w:rsidRPr="00F8350C" w14:paraId="4D5A0F42" w14:textId="77777777" w:rsidTr="005A0D5C">
        <w:tc>
          <w:tcPr>
            <w:tcW w:w="520" w:type="dxa"/>
          </w:tcPr>
          <w:p w14:paraId="08BC34E9" w14:textId="77777777" w:rsidR="00F8350C" w:rsidRPr="00F8350C" w:rsidRDefault="00F8350C" w:rsidP="005A0D5C">
            <w:pPr>
              <w:contextualSpacing/>
              <w:rPr>
                <w:rFonts w:ascii="Verdana" w:hAnsi="Verdana"/>
                <w:sz w:val="20"/>
                <w:szCs w:val="20"/>
                <w:lang w:val="sr-Cyrl-RS"/>
              </w:rPr>
            </w:pPr>
            <w:r w:rsidRPr="00F8350C">
              <w:rPr>
                <w:rFonts w:ascii="Verdana" w:hAnsi="Verdana"/>
                <w:sz w:val="20"/>
                <w:szCs w:val="20"/>
                <w:lang w:val="sr-Cyrl-RS"/>
              </w:rPr>
              <w:t>16.</w:t>
            </w:r>
          </w:p>
        </w:tc>
        <w:tc>
          <w:tcPr>
            <w:tcW w:w="6225" w:type="dxa"/>
          </w:tcPr>
          <w:p w14:paraId="37468E56" w14:textId="57DF09A3" w:rsidR="00F8350C" w:rsidRPr="00082634" w:rsidRDefault="00082634" w:rsidP="005A0D5C">
            <w:pPr>
              <w:rPr>
                <w:rFonts w:ascii="Verdana" w:hAnsi="Verdana"/>
                <w:sz w:val="20"/>
                <w:szCs w:val="20"/>
                <w:lang w:val="sr-Latn-RS"/>
              </w:rPr>
            </w:pPr>
            <w:r>
              <w:rPr>
                <w:rFonts w:ascii="Verdana" w:hAnsi="Verdana"/>
                <w:sz w:val="20"/>
                <w:szCs w:val="20"/>
                <w:lang w:val="sr-Latn-RS"/>
              </w:rPr>
              <w:t>Mobile working platforms  for work at heights (minimum reach of 20 metres)</w:t>
            </w:r>
          </w:p>
          <w:p w14:paraId="28CF3BDB" w14:textId="77777777" w:rsidR="00F8350C" w:rsidRPr="00F8350C" w:rsidRDefault="00F8350C" w:rsidP="005A0D5C">
            <w:pPr>
              <w:rPr>
                <w:rFonts w:ascii="Verdana" w:hAnsi="Verdana"/>
                <w:sz w:val="20"/>
                <w:szCs w:val="20"/>
                <w:lang w:val="sr-Cyrl-RS"/>
              </w:rPr>
            </w:pPr>
          </w:p>
        </w:tc>
        <w:tc>
          <w:tcPr>
            <w:tcW w:w="1165" w:type="dxa"/>
          </w:tcPr>
          <w:p w14:paraId="31380665" w14:textId="333859AD" w:rsidR="00F8350C" w:rsidRPr="00F8350C" w:rsidRDefault="00082634" w:rsidP="005A0D5C">
            <w:pPr>
              <w:contextualSpacing/>
              <w:jc w:val="right"/>
              <w:rPr>
                <w:rFonts w:ascii="Verdana" w:hAnsi="Verdana"/>
                <w:sz w:val="20"/>
                <w:szCs w:val="20"/>
                <w:lang w:val="sr-Cyrl-RS"/>
              </w:rPr>
            </w:pPr>
            <w:r>
              <w:rPr>
                <w:rFonts w:ascii="Verdana" w:hAnsi="Verdana"/>
                <w:sz w:val="20"/>
                <w:szCs w:val="20"/>
                <w:lang w:val="sr-Cyrl-RS"/>
              </w:rPr>
              <w:t>01 piece</w:t>
            </w:r>
          </w:p>
        </w:tc>
      </w:tr>
      <w:tr w:rsidR="00F17810" w:rsidRPr="00F8350C" w14:paraId="765B8569" w14:textId="77777777" w:rsidTr="005A0D5C">
        <w:tc>
          <w:tcPr>
            <w:tcW w:w="520" w:type="dxa"/>
          </w:tcPr>
          <w:p w14:paraId="13082428" w14:textId="77777777" w:rsidR="00F17810" w:rsidRPr="00F17810" w:rsidRDefault="00F17810" w:rsidP="005A0D5C">
            <w:pPr>
              <w:contextualSpacing/>
              <w:rPr>
                <w:rFonts w:ascii="Verdana" w:hAnsi="Verdana"/>
                <w:sz w:val="20"/>
                <w:szCs w:val="20"/>
                <w:lang w:val="sr-Cyrl-RS"/>
              </w:rPr>
            </w:pPr>
            <w:r>
              <w:rPr>
                <w:rFonts w:ascii="Verdana" w:hAnsi="Verdana"/>
                <w:sz w:val="20"/>
                <w:szCs w:val="20"/>
                <w:lang w:val="en-US"/>
              </w:rPr>
              <w:t>17.</w:t>
            </w:r>
          </w:p>
        </w:tc>
        <w:tc>
          <w:tcPr>
            <w:tcW w:w="6225" w:type="dxa"/>
          </w:tcPr>
          <w:p w14:paraId="3A5FC974" w14:textId="7838D285" w:rsidR="00F17810" w:rsidRPr="00C053D3" w:rsidRDefault="00C053D3" w:rsidP="00F17810">
            <w:pPr>
              <w:rPr>
                <w:rFonts w:ascii="Verdana" w:hAnsi="Verdana"/>
                <w:sz w:val="20"/>
                <w:szCs w:val="20"/>
                <w:lang w:val="sr-Latn-RS"/>
              </w:rPr>
            </w:pPr>
            <w:r>
              <w:rPr>
                <w:rFonts w:ascii="Verdana" w:hAnsi="Verdana"/>
                <w:sz w:val="20"/>
                <w:szCs w:val="20"/>
                <w:lang w:val="sr-Latn-RS"/>
              </w:rPr>
              <w:t xml:space="preserve">The „Spider“ - Vehicle for the removal of improperly parked vehicles- </w:t>
            </w:r>
          </w:p>
        </w:tc>
        <w:tc>
          <w:tcPr>
            <w:tcW w:w="1165" w:type="dxa"/>
          </w:tcPr>
          <w:p w14:paraId="07C04674" w14:textId="52E2A5D1" w:rsidR="00F17810" w:rsidRPr="00F8350C" w:rsidRDefault="00C053D3" w:rsidP="005A0D5C">
            <w:pPr>
              <w:contextualSpacing/>
              <w:jc w:val="right"/>
              <w:rPr>
                <w:rFonts w:ascii="Verdana" w:hAnsi="Verdana"/>
                <w:sz w:val="20"/>
                <w:szCs w:val="20"/>
                <w:lang w:val="sr-Cyrl-RS"/>
              </w:rPr>
            </w:pPr>
            <w:r>
              <w:rPr>
                <w:rFonts w:ascii="Verdana" w:hAnsi="Verdana"/>
                <w:sz w:val="20"/>
                <w:szCs w:val="20"/>
                <w:lang w:val="sr-Cyrl-RS"/>
              </w:rPr>
              <w:t>01 piece</w:t>
            </w:r>
          </w:p>
        </w:tc>
      </w:tr>
    </w:tbl>
    <w:p w14:paraId="301A12F8" w14:textId="77777777" w:rsidR="00631A21" w:rsidRPr="00F02471" w:rsidRDefault="00631A21" w:rsidP="00631A21">
      <w:pPr>
        <w:pStyle w:val="Stext3"/>
        <w:ind w:left="2250"/>
        <w:rPr>
          <w:highlight w:val="yellow"/>
          <w:lang w:val="sr-Latn-CS" w:eastAsia="en-US"/>
        </w:rPr>
      </w:pPr>
    </w:p>
    <w:p w14:paraId="73567774" w14:textId="4BF8BB87" w:rsidR="00493E29" w:rsidRDefault="00C053D3" w:rsidP="005A0D5C">
      <w:pPr>
        <w:pStyle w:val="Stext3"/>
        <w:rPr>
          <w:lang w:val="sr-Latn-CS"/>
        </w:rPr>
      </w:pPr>
      <w:r>
        <w:rPr>
          <w:lang w:val="sr-Latn-CS"/>
        </w:rPr>
        <w:t xml:space="preserve">The </w:t>
      </w:r>
      <w:r w:rsidR="00063EDF">
        <w:rPr>
          <w:lang w:val="sr-Latn-CS"/>
        </w:rPr>
        <w:t>evidence</w:t>
      </w:r>
      <w:r>
        <w:rPr>
          <w:lang w:val="sr-Latn-CS"/>
        </w:rPr>
        <w:t xml:space="preserve"> </w:t>
      </w:r>
      <w:r w:rsidR="00063EDF">
        <w:rPr>
          <w:lang w:val="sr-Latn-CS"/>
        </w:rPr>
        <w:t>of</w:t>
      </w:r>
      <w:r>
        <w:rPr>
          <w:lang w:val="sr-Latn-CS"/>
        </w:rPr>
        <w:t xml:space="preserve"> meeting additional, that is, qualification conditions for participation ha</w:t>
      </w:r>
      <w:r w:rsidR="00063EDF">
        <w:rPr>
          <w:lang w:val="sr-Latn-CS"/>
        </w:rPr>
        <w:t>s</w:t>
      </w:r>
      <w:r>
        <w:rPr>
          <w:lang w:val="sr-Latn-CS"/>
        </w:rPr>
        <w:t xml:space="preserve"> been prescribed in detail in Appendix 2 to this Public call.</w:t>
      </w:r>
    </w:p>
    <w:p w14:paraId="5731824B" w14:textId="70C20201" w:rsidR="00F17810" w:rsidRPr="00F17810" w:rsidRDefault="00C053D3" w:rsidP="005A0D5C">
      <w:pPr>
        <w:pStyle w:val="Stext3"/>
        <w:rPr>
          <w:lang w:val="sr-Cyrl-RS" w:eastAsia="en-US"/>
        </w:rPr>
      </w:pPr>
      <w:r>
        <w:rPr>
          <w:lang w:val="sr-Latn-RS"/>
        </w:rPr>
        <w:lastRenderedPageBreak/>
        <w:t>The vehicle mentioned under number 17 has to be purshased within 60 days from the day of concluding the Concession contract.</w:t>
      </w:r>
    </w:p>
    <w:p w14:paraId="2160597B" w14:textId="36C72554" w:rsidR="00493E29" w:rsidRPr="00F02471" w:rsidRDefault="00C053D3" w:rsidP="005A0D5C">
      <w:pPr>
        <w:pStyle w:val="Sheading1"/>
        <w:rPr>
          <w:lang w:val="sr-Latn-CS"/>
        </w:rPr>
      </w:pPr>
      <w:r>
        <w:rPr>
          <w:lang w:val="sr-Latn-CS"/>
        </w:rPr>
        <w:t xml:space="preserve">Criterion for choosing the most favourable bid </w:t>
      </w:r>
    </w:p>
    <w:p w14:paraId="08557C2F" w14:textId="6EE3ED3E" w:rsidR="00493E29" w:rsidRPr="00F02471" w:rsidRDefault="00C053D3" w:rsidP="005A0D5C">
      <w:pPr>
        <w:pStyle w:val="Stext1"/>
        <w:rPr>
          <w:lang w:val="sr-Latn-CS" w:eastAsia="en-US"/>
        </w:rPr>
      </w:pPr>
      <w:r>
        <w:rPr>
          <w:lang w:val="sr-Latn-CS" w:eastAsia="en-US"/>
        </w:rPr>
        <w:t>The criterion for choosing the most favourable bid is the highest bidded Concession fee.</w:t>
      </w:r>
    </w:p>
    <w:p w14:paraId="5289C8E7" w14:textId="6F3B08B3" w:rsidR="00493E29" w:rsidRPr="00F02471" w:rsidRDefault="00C053D3" w:rsidP="005A0D5C">
      <w:pPr>
        <w:pStyle w:val="Stext1"/>
        <w:rPr>
          <w:lang w:val="sr-Latn-CS" w:eastAsia="en-US"/>
        </w:rPr>
      </w:pPr>
      <w:r>
        <w:rPr>
          <w:lang w:val="sr-Latn-CS" w:eastAsia="en-US"/>
        </w:rPr>
        <w:t>In the bid, the bidder has to quote the Concession fee of a minimum of RSD 500,000.00( that is, the Initial Concession fee and the Annual concession fee), as prescribed furtheron:</w:t>
      </w:r>
    </w:p>
    <w:p w14:paraId="0AED17BE" w14:textId="0EAC53A6" w:rsidR="00493E29" w:rsidRPr="00F02471" w:rsidRDefault="006366DD" w:rsidP="005A0D5C">
      <w:pPr>
        <w:pStyle w:val="Sheading2"/>
        <w:rPr>
          <w:lang w:val="sr-Latn-CS"/>
        </w:rPr>
      </w:pPr>
      <w:r>
        <w:rPr>
          <w:lang w:val="sr-Latn-CS"/>
        </w:rPr>
        <w:t>The Annual concession fee</w:t>
      </w:r>
    </w:p>
    <w:p w14:paraId="44B494FC" w14:textId="08C3F0F0" w:rsidR="00493E29" w:rsidRPr="00F02471" w:rsidRDefault="006366DD" w:rsidP="005A0D5C">
      <w:pPr>
        <w:pStyle w:val="Stext2"/>
        <w:rPr>
          <w:lang w:val="sr-Cyrl-RS" w:eastAsia="en-US"/>
        </w:rPr>
      </w:pPr>
      <w:r>
        <w:rPr>
          <w:lang w:val="sr-Latn-CS" w:eastAsia="en-US"/>
        </w:rPr>
        <w:t xml:space="preserve">The Annual concession fee is to be paid annually in the period from the first to the fifteenth year of the concession term, and </w:t>
      </w:r>
      <w:r w:rsidR="00F67CA7">
        <w:rPr>
          <w:lang w:val="sr-Latn-CS" w:eastAsia="en-US"/>
        </w:rPr>
        <w:t>it</w:t>
      </w:r>
      <w:r>
        <w:rPr>
          <w:lang w:val="sr-Latn-CS" w:eastAsia="en-US"/>
        </w:rPr>
        <w:t xml:space="preserve"> shall be indexed with the consumer prices index.</w:t>
      </w:r>
    </w:p>
    <w:p w14:paraId="5EC473E4" w14:textId="1DDDB9EE" w:rsidR="00493E29" w:rsidRPr="00F02471" w:rsidRDefault="006366DD" w:rsidP="005A0D5C">
      <w:pPr>
        <w:pStyle w:val="Stext2"/>
        <w:rPr>
          <w:lang w:val="sr-Latn-CS" w:eastAsia="en-US"/>
        </w:rPr>
      </w:pPr>
      <w:r>
        <w:rPr>
          <w:lang w:val="sr-Latn-CS" w:eastAsia="en-US"/>
        </w:rPr>
        <w:t>The Annual concession fee is quoted and paid in RS dinars.</w:t>
      </w:r>
    </w:p>
    <w:p w14:paraId="319EE4B2" w14:textId="13D47668" w:rsidR="00493E29" w:rsidRPr="00F02471" w:rsidRDefault="006366DD" w:rsidP="005A0D5C">
      <w:pPr>
        <w:pStyle w:val="Sheading2"/>
        <w:rPr>
          <w:lang w:val="sr-Latn-CS"/>
        </w:rPr>
      </w:pPr>
      <w:r>
        <w:rPr>
          <w:lang w:val="sr-Latn-CS"/>
        </w:rPr>
        <w:t>Bid assessment</w:t>
      </w:r>
    </w:p>
    <w:p w14:paraId="37B84599" w14:textId="6D97A64B" w:rsidR="00493E29" w:rsidRPr="00F02471" w:rsidRDefault="006366DD" w:rsidP="005A0D5C">
      <w:pPr>
        <w:pStyle w:val="Stext2"/>
        <w:rPr>
          <w:lang w:val="sr-Latn-CS"/>
        </w:rPr>
      </w:pPr>
      <w:r>
        <w:rPr>
          <w:lang w:val="sr-Latn-CS" w:eastAsia="en-US"/>
        </w:rPr>
        <w:t>Each bidder</w:t>
      </w:r>
      <w:r w:rsidR="00493E29" w:rsidRPr="00F02471">
        <w:rPr>
          <w:lang w:val="sr-Latn-CS" w:eastAsia="en-US"/>
        </w:rPr>
        <w:t xml:space="preserve"> [</w:t>
      </w:r>
      <w:r w:rsidR="00C5330A" w:rsidRPr="00F02471">
        <w:rPr>
          <w:lang w:val="sr-Latn-CS"/>
        </w:rPr>
        <w:t>i] (i</w:t>
      </w:r>
      <w:r>
        <w:rPr>
          <w:lang w:val="sr-Latn-CS"/>
        </w:rPr>
        <w:t xml:space="preserve"> = 1 to N, that is, Bidder 1, Bidder 2, Bidder 3 etc) shall bid the Concession fee, quoted in dinars:</w:t>
      </w:r>
      <w:r w:rsidR="00493E29" w:rsidRPr="00F02471">
        <w:rPr>
          <w:lang w:val="sr-Latn-CS"/>
        </w:rPr>
        <w:t xml:space="preserve"> </w:t>
      </w:r>
    </w:p>
    <w:p w14:paraId="76815519" w14:textId="77777777" w:rsidR="00673F1F" w:rsidRDefault="006366DD" w:rsidP="00D0028D">
      <w:pPr>
        <w:pStyle w:val="Stext2"/>
        <w:numPr>
          <w:ilvl w:val="0"/>
          <w:numId w:val="28"/>
        </w:numPr>
        <w:rPr>
          <w:lang w:val="sr-Latn-CS" w:eastAsia="en-US"/>
        </w:rPr>
      </w:pPr>
      <w:r>
        <w:rPr>
          <w:lang w:val="sr-Latn-CS" w:eastAsia="en-US"/>
        </w:rPr>
        <w:t>Annual concession fee [</w:t>
      </w:r>
      <w:r w:rsidR="00673F1F">
        <w:rPr>
          <w:lang w:val="sr-Latn-CS" w:eastAsia="en-US"/>
        </w:rPr>
        <w:t>ACFi ]</w:t>
      </w:r>
    </w:p>
    <w:p w14:paraId="3352DC9E" w14:textId="5E9C636E" w:rsidR="00493E29" w:rsidRPr="00F02471" w:rsidRDefault="00673F1F" w:rsidP="00673F1F">
      <w:pPr>
        <w:pStyle w:val="Stext2"/>
        <w:ind w:left="1400"/>
        <w:rPr>
          <w:lang w:val="sr-Latn-CS" w:eastAsia="en-US"/>
        </w:rPr>
      </w:pPr>
      <w:r>
        <w:rPr>
          <w:lang w:val="sr-Latn-CS" w:eastAsia="en-US"/>
        </w:rPr>
        <w:t>Each bidder's points[Ci] shall be calculated based on the following formula:</w:t>
      </w:r>
    </w:p>
    <w:p w14:paraId="0CE671AB" w14:textId="3DFB273C" w:rsidR="00493E29" w:rsidRPr="00F02471" w:rsidRDefault="00493E29" w:rsidP="00673F1F">
      <w:pPr>
        <w:pStyle w:val="Stext2"/>
        <w:ind w:left="0"/>
        <w:rPr>
          <w:lang w:val="sr-Latn-CS"/>
        </w:rPr>
      </w:pPr>
    </w:p>
    <w:p w14:paraId="7FA35F8B" w14:textId="0BF2F68F" w:rsidR="00493E29" w:rsidRPr="00F02471" w:rsidRDefault="00C5330A" w:rsidP="005A0D5C">
      <w:pPr>
        <w:pStyle w:val="Stext2"/>
        <w:jc w:val="center"/>
        <w:rPr>
          <w:i/>
          <w:lang w:val="sr-Latn-CS" w:eastAsia="en-US"/>
        </w:rPr>
      </w:pPr>
      <w:r w:rsidRPr="00F02471">
        <w:rPr>
          <w:i/>
          <w:lang w:val="sr-Latn-CS" w:eastAsia="en-US"/>
        </w:rPr>
        <w:t>С</w:t>
      </w:r>
      <w:r w:rsidR="00993DF0" w:rsidRPr="00F02471">
        <w:rPr>
          <w:i/>
          <w:lang w:val="sr-Latn-CS" w:eastAsia="en-US"/>
        </w:rPr>
        <w:t xml:space="preserve">i </w:t>
      </w:r>
      <w:r w:rsidR="001325E0" w:rsidRPr="00F336F5">
        <w:rPr>
          <w:i/>
          <w:lang w:val="sr-Latn-CS" w:eastAsia="en-US"/>
        </w:rPr>
        <w:t>=</w:t>
      </w:r>
      <w:r w:rsidR="002F02F3" w:rsidRPr="00F336F5">
        <w:rPr>
          <w:i/>
          <w:lang w:val="sr-Cyrl-RS" w:eastAsia="en-US"/>
        </w:rPr>
        <w:t>10</w:t>
      </w:r>
      <w:r w:rsidR="001325E0" w:rsidRPr="00F336F5">
        <w:rPr>
          <w:i/>
          <w:lang w:val="sr-Latn-CS" w:eastAsia="en-US"/>
        </w:rPr>
        <w:t>0%</w:t>
      </w:r>
      <w:r w:rsidR="002F02F3" w:rsidRPr="00F336F5">
        <w:rPr>
          <w:i/>
          <w:lang w:val="sr-Cyrl-RS" w:eastAsia="en-US"/>
        </w:rPr>
        <w:t xml:space="preserve"> х </w:t>
      </w:r>
      <w:r w:rsidR="00673F1F">
        <w:rPr>
          <w:i/>
          <w:lang w:val="sr-Latn-CS" w:eastAsia="en-US"/>
        </w:rPr>
        <w:t>ACFi</w:t>
      </w:r>
      <w:r w:rsidR="00493E29" w:rsidRPr="00F02471">
        <w:rPr>
          <w:i/>
          <w:lang w:val="sr-Latn-CS" w:eastAsia="en-US"/>
        </w:rPr>
        <w:t xml:space="preserve"> </w:t>
      </w:r>
    </w:p>
    <w:p w14:paraId="39956111" w14:textId="4221ED66" w:rsidR="00493E29" w:rsidRPr="00F02471" w:rsidRDefault="00673F1F" w:rsidP="005A0D5C">
      <w:pPr>
        <w:pStyle w:val="Stext2"/>
        <w:rPr>
          <w:lang w:val="sr-Latn-CS" w:eastAsia="en-US"/>
        </w:rPr>
      </w:pPr>
      <w:r>
        <w:rPr>
          <w:lang w:val="sr-Latn-CS" w:eastAsia="en-US"/>
        </w:rPr>
        <w:t>Each bidder has to take into consideraton the fact that the bidded Annual concession fee shall become contractual obligation, and that it shall be part of the Contract on concession.</w:t>
      </w:r>
    </w:p>
    <w:p w14:paraId="32B98F89" w14:textId="7A4A08CD" w:rsidR="00493E29" w:rsidRPr="00F02471" w:rsidRDefault="00673F1F" w:rsidP="005A0D5C">
      <w:pPr>
        <w:pStyle w:val="Stext2"/>
        <w:rPr>
          <w:lang w:val="sr-Latn-CS" w:eastAsia="en-US"/>
        </w:rPr>
      </w:pPr>
      <w:r>
        <w:rPr>
          <w:lang w:val="sr-Latn-CS" w:eastAsia="en-US"/>
        </w:rPr>
        <w:t>The annual concession fee shall be indexed in accordance with the provisions of the Contract on concession which regulate indexation and inflation.</w:t>
      </w:r>
    </w:p>
    <w:p w14:paraId="13C443C1" w14:textId="51AB3C02" w:rsidR="00493E29" w:rsidRPr="00F02471" w:rsidRDefault="00BD3796" w:rsidP="005A0D5C">
      <w:pPr>
        <w:pStyle w:val="Sheading1"/>
        <w:rPr>
          <w:lang w:val="sr-Latn-CS"/>
        </w:rPr>
      </w:pPr>
      <w:r>
        <w:rPr>
          <w:lang w:val="sr-Latn-CS"/>
        </w:rPr>
        <w:t xml:space="preserve">Submission of bids </w:t>
      </w:r>
    </w:p>
    <w:p w14:paraId="6B67F371" w14:textId="2A644754" w:rsidR="00493E29" w:rsidRPr="00F02471" w:rsidRDefault="00BD3796" w:rsidP="005A0D5C">
      <w:pPr>
        <w:pStyle w:val="Stext1"/>
        <w:rPr>
          <w:lang w:val="sr-Latn-CS" w:eastAsia="en-US"/>
        </w:rPr>
      </w:pPr>
      <w:r>
        <w:rPr>
          <w:lang w:val="sr-Latn-CS" w:eastAsia="en-US"/>
        </w:rPr>
        <w:t xml:space="preserve">The deadline for the submission of bids is </w:t>
      </w:r>
      <w:r w:rsidR="00201B76">
        <w:rPr>
          <w:b/>
          <w:lang w:val="sr-Latn-CS" w:eastAsia="en-US"/>
        </w:rPr>
        <w:t>before the last 60th day of the day of announcing in the „Official gazette</w:t>
      </w:r>
      <w:r w:rsidR="00CF4239">
        <w:rPr>
          <w:b/>
          <w:lang w:val="sr-Latn-CS" w:eastAsia="en-US"/>
        </w:rPr>
        <w:t xml:space="preserve"> RS</w:t>
      </w:r>
      <w:r w:rsidR="00201B76">
        <w:rPr>
          <w:b/>
          <w:lang w:val="sr-Latn-CS" w:eastAsia="en-US"/>
        </w:rPr>
        <w:t>“</w:t>
      </w:r>
      <w:r w:rsidRPr="00F67CA7">
        <w:rPr>
          <w:b/>
          <w:lang w:val="sr-Latn-CS" w:eastAsia="en-US"/>
        </w:rPr>
        <w:t>at 12:00 pm („Deadline for</w:t>
      </w:r>
      <w:r>
        <w:rPr>
          <w:lang w:val="sr-Latn-CS" w:eastAsia="en-US"/>
        </w:rPr>
        <w:t xml:space="preserve"> </w:t>
      </w:r>
      <w:r w:rsidRPr="00F67CA7">
        <w:rPr>
          <w:b/>
          <w:lang w:val="sr-Latn-CS" w:eastAsia="en-US"/>
        </w:rPr>
        <w:t>submission of bids</w:t>
      </w:r>
      <w:r>
        <w:rPr>
          <w:lang w:val="sr-Latn-CS" w:eastAsia="en-US"/>
        </w:rPr>
        <w:t>“) in the City hall premises, as stated in Section 1 above.</w:t>
      </w:r>
    </w:p>
    <w:p w14:paraId="0DF315F6" w14:textId="7E2E89AA" w:rsidR="00493E29" w:rsidRPr="00F02471" w:rsidRDefault="00BD3796" w:rsidP="005A0D5C">
      <w:pPr>
        <w:pStyle w:val="Stext1"/>
        <w:rPr>
          <w:lang w:val="sr-Latn-CS" w:eastAsia="en-US"/>
        </w:rPr>
      </w:pPr>
      <w:r>
        <w:rPr>
          <w:lang w:val="sr-Latn-CS" w:eastAsia="en-US"/>
        </w:rPr>
        <w:t>The bids are submitted in person or via the certified mail with a return receipt, in closed envelopes/ boxes as it has been explained in detail in the Tender documentation. The bids shall be considered submitted after their physical  reception by the City.</w:t>
      </w:r>
    </w:p>
    <w:p w14:paraId="419E4506" w14:textId="0B8CF011" w:rsidR="00493E29" w:rsidRPr="00F02471" w:rsidRDefault="00BD3796" w:rsidP="005A0D5C">
      <w:pPr>
        <w:pStyle w:val="Stext1"/>
        <w:rPr>
          <w:lang w:val="sr-Latn-CS" w:eastAsia="en-US"/>
        </w:rPr>
      </w:pPr>
      <w:r>
        <w:rPr>
          <w:lang w:val="sr-Latn-CS" w:eastAsia="en-US"/>
        </w:rPr>
        <w:t>The bids have to be delivered in Serbian language.</w:t>
      </w:r>
    </w:p>
    <w:p w14:paraId="6FCADC08" w14:textId="6A5E798C" w:rsidR="00493E29" w:rsidRPr="00F02471" w:rsidRDefault="00BD3796" w:rsidP="005A0D5C">
      <w:pPr>
        <w:pStyle w:val="Stext1"/>
        <w:rPr>
          <w:lang w:val="sr-Latn-CS" w:eastAsia="en-US"/>
        </w:rPr>
      </w:pPr>
      <w:r>
        <w:rPr>
          <w:lang w:val="sr-Latn-CS" w:eastAsia="en-US"/>
        </w:rPr>
        <w:t>The bids can be made out in either Latin or Cyrilic alphabets.</w:t>
      </w:r>
    </w:p>
    <w:p w14:paraId="54680B7A" w14:textId="617148B5" w:rsidR="00493E29" w:rsidRPr="00F02471" w:rsidRDefault="00BD3796" w:rsidP="005A0D5C">
      <w:pPr>
        <w:pStyle w:val="Sheading1"/>
        <w:rPr>
          <w:lang w:val="sr-Latn-CS"/>
        </w:rPr>
      </w:pPr>
      <w:r>
        <w:rPr>
          <w:lang w:val="sr-Latn-CS"/>
        </w:rPr>
        <w:t xml:space="preserve">The information on the outcome of the Concession award procedure </w:t>
      </w:r>
      <w:r w:rsidR="00493E29" w:rsidRPr="00F02471">
        <w:rPr>
          <w:lang w:val="sr-Latn-CS"/>
        </w:rPr>
        <w:t xml:space="preserve"> </w:t>
      </w:r>
    </w:p>
    <w:p w14:paraId="368D28CE" w14:textId="74E20D4F" w:rsidR="00493E29" w:rsidRPr="00F02471" w:rsidRDefault="00BD3796" w:rsidP="005A0D5C">
      <w:pPr>
        <w:pStyle w:val="Stext1"/>
        <w:rPr>
          <w:lang w:val="sr-Latn-CS" w:eastAsia="en-US"/>
        </w:rPr>
      </w:pPr>
      <w:r>
        <w:rPr>
          <w:lang w:val="sr-Latn-CS" w:eastAsia="en-US"/>
        </w:rPr>
        <w:t>The outcome of the Concession award procedure shall be announced not later than</w:t>
      </w:r>
      <w:r w:rsidR="00201B76">
        <w:rPr>
          <w:lang w:val="sr-Latn-CS" w:eastAsia="en-US"/>
        </w:rPr>
        <w:t xml:space="preserve"> </w:t>
      </w:r>
      <w:r w:rsidR="00482BAE">
        <w:rPr>
          <w:lang w:val="sr-Latn-CS" w:eastAsia="en-US"/>
        </w:rPr>
        <w:t>65</w:t>
      </w:r>
      <w:r w:rsidR="00201B76">
        <w:rPr>
          <w:lang w:val="sr-Latn-CS" w:eastAsia="en-US"/>
        </w:rPr>
        <w:t xml:space="preserve"> days from the day of making the decision on awarding the private partner</w:t>
      </w:r>
      <w:r>
        <w:rPr>
          <w:lang w:val="sr-Latn-CS" w:eastAsia="en-US"/>
        </w:rPr>
        <w:t xml:space="preserve">. The City shall deliver the relevant decision, and enclosed copy of the Minutes on opening and </w:t>
      </w:r>
      <w:r>
        <w:rPr>
          <w:lang w:val="sr-Latn-CS" w:eastAsia="en-US"/>
        </w:rPr>
        <w:lastRenderedPageBreak/>
        <w:t xml:space="preserve">assessment of bids to each bidder via e-mail and without delay publish </w:t>
      </w:r>
      <w:r w:rsidR="00BF0D72">
        <w:rPr>
          <w:lang w:val="sr-Latn-CS" w:eastAsia="en-US"/>
        </w:rPr>
        <w:t xml:space="preserve">it </w:t>
      </w:r>
      <w:r>
        <w:rPr>
          <w:lang w:val="sr-Latn-CS" w:eastAsia="en-US"/>
        </w:rPr>
        <w:t xml:space="preserve">on the official web page and on the </w:t>
      </w:r>
      <w:r w:rsidR="00BF0D72">
        <w:rPr>
          <w:lang w:val="sr-Latn-CS" w:eastAsia="en-US"/>
        </w:rPr>
        <w:t>Portal of public procurements.</w:t>
      </w:r>
      <w:r>
        <w:rPr>
          <w:lang w:val="sr-Latn-CS" w:eastAsia="en-US"/>
        </w:rPr>
        <w:t xml:space="preserve">  </w:t>
      </w:r>
    </w:p>
    <w:p w14:paraId="60632660" w14:textId="369206E4" w:rsidR="00493E29" w:rsidRPr="00F02471" w:rsidRDefault="00BF0D72" w:rsidP="005A0D5C">
      <w:pPr>
        <w:pStyle w:val="Sheading1"/>
        <w:rPr>
          <w:lang w:val="sr-Latn-CS"/>
        </w:rPr>
      </w:pPr>
      <w:r>
        <w:rPr>
          <w:lang w:val="sr-Latn-CS"/>
        </w:rPr>
        <w:t xml:space="preserve">The protection of the bidders' rights </w:t>
      </w:r>
    </w:p>
    <w:p w14:paraId="56C40BE9" w14:textId="70BB1E10" w:rsidR="00493E29" w:rsidRPr="00F02471" w:rsidRDefault="00BF0D72" w:rsidP="005A0D5C">
      <w:pPr>
        <w:pStyle w:val="Sheading2"/>
        <w:rPr>
          <w:lang w:val="sr-Latn-CS"/>
        </w:rPr>
      </w:pPr>
      <w:r>
        <w:rPr>
          <w:lang w:val="sr-Latn-CS"/>
        </w:rPr>
        <w:t>Each entity interested in the participation or participating in the Concession award procedure has the right to submit a request for the protection of its rights related to the Concession award procedure to the Republic commission for the protection of rights in public procurement procedures („The Commission“)</w:t>
      </w:r>
    </w:p>
    <w:p w14:paraId="3A09DE15" w14:textId="783EA66A" w:rsidR="00493E29" w:rsidRPr="00F02471" w:rsidRDefault="00BF0D72" w:rsidP="005A0D5C">
      <w:pPr>
        <w:pStyle w:val="Sheading2"/>
        <w:rPr>
          <w:lang w:val="sr-Latn-CS"/>
        </w:rPr>
      </w:pPr>
      <w:r>
        <w:rPr>
          <w:lang w:val="sr-Latn-CS"/>
        </w:rPr>
        <w:t>The request for the protection of rights is submitted to the City at the address in Section 1 of this Public call, via the</w:t>
      </w:r>
      <w:r w:rsidR="00D65F37">
        <w:rPr>
          <w:lang w:val="sr-Latn-CS"/>
        </w:rPr>
        <w:t xml:space="preserve"> certified mail with a return receipt.</w:t>
      </w:r>
    </w:p>
    <w:p w14:paraId="2799AFCF" w14:textId="018CFB1F" w:rsidR="00493E29" w:rsidRPr="00F02471" w:rsidRDefault="00D65F37" w:rsidP="005A0D5C">
      <w:pPr>
        <w:pStyle w:val="Stext1"/>
        <w:rPr>
          <w:lang w:val="sr-Latn-CS"/>
        </w:rPr>
      </w:pPr>
      <w:r>
        <w:rPr>
          <w:lang w:val="sr-Latn-CS"/>
        </w:rPr>
        <w:t>A copy of the request for the protectionof rights is simultaneously submitted to the Commission at the following address:</w:t>
      </w:r>
    </w:p>
    <w:p w14:paraId="4DFA6C6B" w14:textId="37BA4488" w:rsidR="00493E29" w:rsidRPr="00F02471" w:rsidRDefault="00D65F37" w:rsidP="005A0D5C">
      <w:pPr>
        <w:pStyle w:val="Stext1"/>
        <w:jc w:val="center"/>
        <w:rPr>
          <w:b/>
          <w:lang w:val="sr-Latn-CS"/>
        </w:rPr>
      </w:pPr>
      <w:r>
        <w:rPr>
          <w:b/>
          <w:lang w:val="sr-Latn-CS"/>
        </w:rPr>
        <w:t>Nemanjina 22-26, 11-000 Belgrade</w:t>
      </w:r>
    </w:p>
    <w:p w14:paraId="1B1E2502" w14:textId="509B8BF8" w:rsidR="00493E29" w:rsidRPr="00F02471" w:rsidRDefault="00D65F37" w:rsidP="005A0D5C">
      <w:pPr>
        <w:pStyle w:val="Sheading2"/>
        <w:rPr>
          <w:lang w:val="sr-Latn-CS"/>
        </w:rPr>
      </w:pPr>
      <w:r>
        <w:rPr>
          <w:lang w:val="sr-Latn-CS"/>
        </w:rPr>
        <w:t xml:space="preserve">The request for the protection of rights can be submitted against any decision by the City which </w:t>
      </w:r>
      <w:r w:rsidR="00F67CA7">
        <w:rPr>
          <w:lang w:val="sr-Latn-CS"/>
        </w:rPr>
        <w:t>c</w:t>
      </w:r>
      <w:r>
        <w:rPr>
          <w:lang w:val="sr-Latn-CS"/>
        </w:rPr>
        <w:t>an be separately refuted, and which in the submitter's opinion has ben made illegally.</w:t>
      </w:r>
    </w:p>
    <w:p w14:paraId="6E7E72EC" w14:textId="5FE7DF2D" w:rsidR="00493E29" w:rsidRDefault="00D65F37" w:rsidP="005A0D5C">
      <w:pPr>
        <w:pStyle w:val="Sheading2"/>
        <w:rPr>
          <w:lang w:val="sr-Latn-CS"/>
        </w:rPr>
      </w:pPr>
      <w:r>
        <w:rPr>
          <w:lang w:val="sr-Latn-CS"/>
        </w:rPr>
        <w:t>The deadlines for the submission of the request for the protection of rights are</w:t>
      </w:r>
      <w:r w:rsidR="00493E29" w:rsidRPr="00F02471">
        <w:rPr>
          <w:lang w:val="sr-Latn-CS"/>
        </w:rPr>
        <w:t>:</w:t>
      </w:r>
    </w:p>
    <w:p w14:paraId="040BC698" w14:textId="704B6E16" w:rsidR="00135A50" w:rsidRPr="00135A50" w:rsidRDefault="00D65F37" w:rsidP="00135A50">
      <w:pPr>
        <w:pStyle w:val="Sheading1"/>
        <w:numPr>
          <w:ilvl w:val="0"/>
          <w:numId w:val="0"/>
        </w:numPr>
        <w:ind w:left="680"/>
        <w:rPr>
          <w:b w:val="0"/>
          <w:lang w:val="sr-Latn-CS" w:eastAsia="zh-TW"/>
        </w:rPr>
      </w:pPr>
      <w:r>
        <w:rPr>
          <w:b w:val="0"/>
          <w:lang w:val="sr-Latn-CS" w:eastAsia="zh-TW"/>
        </w:rPr>
        <w:t>Precise information on deadline(s) for the protection of rights:</w:t>
      </w:r>
    </w:p>
    <w:p w14:paraId="52CE5643" w14:textId="28FCB6B1" w:rsidR="00135A50" w:rsidRPr="00135A50" w:rsidRDefault="00D65F37" w:rsidP="00135A50">
      <w:pPr>
        <w:pStyle w:val="Sheading1"/>
        <w:numPr>
          <w:ilvl w:val="0"/>
          <w:numId w:val="0"/>
        </w:numPr>
        <w:ind w:left="680"/>
        <w:rPr>
          <w:b w:val="0"/>
          <w:lang w:val="sr-Latn-CS" w:eastAsia="zh-TW"/>
        </w:rPr>
      </w:pPr>
      <w:r>
        <w:rPr>
          <w:b w:val="0"/>
          <w:lang w:val="sr-Latn-CS" w:eastAsia="zh-TW"/>
        </w:rPr>
        <w:t xml:space="preserve">The request for the protection of rights can be submitted during the whole public procurement procedure, unless the </w:t>
      </w:r>
      <w:r w:rsidR="00E542A1">
        <w:rPr>
          <w:b w:val="0"/>
          <w:lang w:val="sr-Latn-CS" w:eastAsia="zh-TW"/>
        </w:rPr>
        <w:t>L</w:t>
      </w:r>
      <w:r>
        <w:rPr>
          <w:b w:val="0"/>
          <w:lang w:val="sr-Latn-CS" w:eastAsia="zh-TW"/>
        </w:rPr>
        <w:t>aw on public procurement has defined differently, and not later than ten days from the day of its publishing on the Portal of public procurements</w:t>
      </w:r>
      <w:r w:rsidR="008D7494">
        <w:rPr>
          <w:b w:val="0"/>
          <w:lang w:val="sr-Latn-CS" w:eastAsia="zh-TW"/>
        </w:rPr>
        <w:t xml:space="preserve"> by the procuring entity, which </w:t>
      </w:r>
      <w:r w:rsidR="00E542A1">
        <w:rPr>
          <w:b w:val="0"/>
          <w:lang w:val="sr-Latn-CS" w:eastAsia="zh-TW"/>
        </w:rPr>
        <w:t>complet</w:t>
      </w:r>
      <w:r w:rsidR="008D7494">
        <w:rPr>
          <w:b w:val="0"/>
          <w:lang w:val="sr-Latn-CS" w:eastAsia="zh-TW"/>
        </w:rPr>
        <w:t>es the public procurement procedure pursuant to the Law on public procurements.</w:t>
      </w:r>
    </w:p>
    <w:p w14:paraId="50D02626" w14:textId="3ED18E1E" w:rsidR="00135A50" w:rsidRPr="00135A50" w:rsidRDefault="008D7494" w:rsidP="00135A50">
      <w:pPr>
        <w:pStyle w:val="Sheading1"/>
        <w:numPr>
          <w:ilvl w:val="0"/>
          <w:numId w:val="0"/>
        </w:numPr>
        <w:ind w:left="680"/>
        <w:rPr>
          <w:b w:val="0"/>
          <w:lang w:val="sr-Latn-CS" w:eastAsia="zh-TW"/>
        </w:rPr>
      </w:pPr>
      <w:r>
        <w:rPr>
          <w:b w:val="0"/>
          <w:lang w:val="sr-Latn-CS" w:eastAsia="zh-TW"/>
        </w:rPr>
        <w:t xml:space="preserve">The request for the protection of rights which challenges the actions of the procuring entity related to the defining </w:t>
      </w:r>
      <w:r w:rsidR="00E542A1">
        <w:rPr>
          <w:b w:val="0"/>
          <w:lang w:val="sr-Latn-CS" w:eastAsia="zh-TW"/>
        </w:rPr>
        <w:t xml:space="preserve">of </w:t>
      </w:r>
      <w:r>
        <w:rPr>
          <w:b w:val="0"/>
          <w:lang w:val="sr-Latn-CS" w:eastAsia="zh-TW"/>
        </w:rPr>
        <w:t>the kind of procedure, the contents of the Public call and the tender documentation shall be considered timely if it has been accepted by the procurement entity three days before the deadline for submitting bids, that is, applications, regardless of the manner of their delivery.</w:t>
      </w:r>
    </w:p>
    <w:p w14:paraId="5C546987" w14:textId="0845E394" w:rsidR="00135A50" w:rsidRPr="00135A50" w:rsidRDefault="00D85799" w:rsidP="00135A50">
      <w:pPr>
        <w:pStyle w:val="Sheading1"/>
        <w:numPr>
          <w:ilvl w:val="0"/>
          <w:numId w:val="0"/>
        </w:numPr>
        <w:ind w:left="680"/>
        <w:rPr>
          <w:b w:val="0"/>
          <w:lang w:val="sr-Latn-CS" w:eastAsia="zh-TW"/>
        </w:rPr>
      </w:pPr>
      <w:r>
        <w:rPr>
          <w:b w:val="0"/>
          <w:lang w:val="sr-Latn-CS" w:eastAsia="zh-TW"/>
        </w:rPr>
        <w:t>The request for the protection of rights which chalenges the actionf of the procuring entity performed after the expiry of the deadline for submitting bids has to be submitted within ten days from the day of publishing the procuring entity's decision on the Portal of public procurements, that is, the day of the decision delivery in cases when the publishing on the Portal of public procurements has not been prescribed by the Law on public procurements.</w:t>
      </w:r>
    </w:p>
    <w:p w14:paraId="2D614533" w14:textId="1323A4B6" w:rsidR="00135A50" w:rsidRPr="00135A50" w:rsidRDefault="00D85799" w:rsidP="00135A50">
      <w:pPr>
        <w:pStyle w:val="Sheading1"/>
        <w:numPr>
          <w:ilvl w:val="0"/>
          <w:numId w:val="0"/>
        </w:numPr>
        <w:ind w:left="680"/>
        <w:rPr>
          <w:b w:val="0"/>
          <w:lang w:val="sr-Latn-CS" w:eastAsia="zh-TW"/>
        </w:rPr>
      </w:pPr>
      <w:r>
        <w:rPr>
          <w:b w:val="0"/>
          <w:lang w:val="sr-Latn-CS" w:eastAsia="zh-TW"/>
        </w:rPr>
        <w:t>After the expiry of the deadline for submiting a request for the protection of rights, the request submitter cannot add to the request the reasons related to the actions which are the subject of challenging in the submitted request, or by challenging of other actions by the procuring entity with which the submitter could or might have been familiar before the expiry of the deadline for submiting the request for the protection of rights, and which the submitter has not put out in the submitted request.</w:t>
      </w:r>
    </w:p>
    <w:p w14:paraId="07A87140" w14:textId="5512B4A9" w:rsidR="00135A50" w:rsidRPr="00135A50" w:rsidRDefault="001E359F" w:rsidP="00135A50">
      <w:pPr>
        <w:pStyle w:val="Sheading1"/>
        <w:numPr>
          <w:ilvl w:val="0"/>
          <w:numId w:val="0"/>
        </w:numPr>
        <w:ind w:left="680"/>
        <w:rPr>
          <w:b w:val="0"/>
          <w:lang w:val="sr-Latn-CS" w:eastAsia="zh-TW"/>
        </w:rPr>
      </w:pPr>
      <w:r>
        <w:rPr>
          <w:b w:val="0"/>
          <w:lang w:val="sr-Latn-CS" w:eastAsia="zh-TW"/>
        </w:rPr>
        <w:t xml:space="preserve">The request for the protection of rights cannot challenge the actions by the procuring entity completed in the public procurement procedure if the request submitter was or </w:t>
      </w:r>
      <w:r>
        <w:rPr>
          <w:b w:val="0"/>
          <w:lang w:val="sr-Latn-CS" w:eastAsia="zh-TW"/>
        </w:rPr>
        <w:lastRenderedPageBreak/>
        <w:t xml:space="preserve">could have been familiar with the reasons for its submission before the deadline for submitting the request, and the request submitter did not submit it before the expiry of that deadline. If in the same public procurement procedure a request for the protection of rights was submitted by the same request submitter, that trequest cannot challenge the procuring entity's actions which the request submitter knew about or could have known about at the time of submitting the previous request. </w:t>
      </w:r>
    </w:p>
    <w:p w14:paraId="640D4ECF" w14:textId="6F3466E1" w:rsidR="00135A50" w:rsidRPr="00135A50" w:rsidRDefault="001E359F" w:rsidP="00135A50">
      <w:pPr>
        <w:pStyle w:val="Sheading1"/>
        <w:numPr>
          <w:ilvl w:val="0"/>
          <w:numId w:val="0"/>
        </w:numPr>
        <w:ind w:left="680"/>
        <w:rPr>
          <w:b w:val="0"/>
          <w:lang w:val="sr-Latn-CS" w:eastAsia="zh-TW"/>
        </w:rPr>
      </w:pPr>
      <w:r>
        <w:rPr>
          <w:b w:val="0"/>
          <w:lang w:val="sr-Latn-CS" w:eastAsia="zh-TW"/>
        </w:rPr>
        <w:t xml:space="preserve">The subject </w:t>
      </w:r>
      <w:r w:rsidR="00063EDF">
        <w:rPr>
          <w:b w:val="0"/>
          <w:lang w:val="sr-Latn-CS" w:eastAsia="zh-TW"/>
        </w:rPr>
        <w:t>which is</w:t>
      </w:r>
      <w:r>
        <w:rPr>
          <w:b w:val="0"/>
          <w:lang w:val="sr-Latn-CS" w:eastAsia="zh-TW"/>
        </w:rPr>
        <w:t xml:space="preserve"> challenge</w:t>
      </w:r>
      <w:r w:rsidR="00063EDF">
        <w:rPr>
          <w:b w:val="0"/>
          <w:lang w:val="sr-Latn-CS" w:eastAsia="zh-TW"/>
        </w:rPr>
        <w:t>d</w:t>
      </w:r>
      <w:r>
        <w:rPr>
          <w:b w:val="0"/>
          <w:lang w:val="sr-Latn-CS" w:eastAsia="zh-TW"/>
        </w:rPr>
        <w:t xml:space="preserve"> in the procedure of the protection of rights cannot be the possible flaws or irregularities in the documentation on the procurement which were not pointed at pursuant to article 97 of the Law on public procurements.</w:t>
      </w:r>
    </w:p>
    <w:p w14:paraId="6D953BA1" w14:textId="2D5EE8B3" w:rsidR="00135A50" w:rsidRPr="00135A50" w:rsidRDefault="001E359F" w:rsidP="00135A50">
      <w:pPr>
        <w:pStyle w:val="Sheading1"/>
        <w:numPr>
          <w:ilvl w:val="0"/>
          <w:numId w:val="0"/>
        </w:numPr>
        <w:ind w:left="680"/>
        <w:rPr>
          <w:b w:val="0"/>
          <w:lang w:val="sr-Latn-CS" w:eastAsia="zh-TW"/>
        </w:rPr>
      </w:pPr>
      <w:r>
        <w:rPr>
          <w:b w:val="0"/>
          <w:lang w:val="sr-Latn-CS" w:eastAsia="zh-TW"/>
        </w:rPr>
        <w:t>The procuring entity publishes the information on the submitted request for the protection of rights at the Portal for public procurements not later than the following day from the day of the submission of request for the protection of rights.</w:t>
      </w:r>
      <w:r w:rsidR="00E91C49">
        <w:rPr>
          <w:b w:val="0"/>
          <w:lang w:val="sr-Latn-CS" w:eastAsia="zh-TW"/>
        </w:rPr>
        <w:t xml:space="preserve"> The submission of the request for the protection of rights </w:t>
      </w:r>
      <w:r w:rsidR="00E542A1">
        <w:rPr>
          <w:b w:val="0"/>
          <w:lang w:val="sr-Latn-CS" w:eastAsia="zh-TW"/>
        </w:rPr>
        <w:t>stops</w:t>
      </w:r>
      <w:r w:rsidR="00E91C49">
        <w:rPr>
          <w:b w:val="0"/>
          <w:lang w:val="sr-Latn-CS" w:eastAsia="zh-TW"/>
        </w:rPr>
        <w:t xml:space="preserve"> the continuation of the public procurement procedure by the procuring entity until the termination of the procedure of the protection of rights. The request for the protection of rights has to contain</w:t>
      </w:r>
      <w:r w:rsidR="00E542A1">
        <w:rPr>
          <w:b w:val="0"/>
          <w:lang w:val="sr-Latn-CS" w:eastAsia="zh-TW"/>
        </w:rPr>
        <w:t xml:space="preserve"> the </w:t>
      </w:r>
      <w:r w:rsidR="00E91C49">
        <w:rPr>
          <w:b w:val="0"/>
          <w:lang w:val="sr-Latn-CS" w:eastAsia="zh-TW"/>
        </w:rPr>
        <w:t xml:space="preserve"> information from article 217 of the Law on public procurement. </w:t>
      </w:r>
    </w:p>
    <w:p w14:paraId="111D86ED" w14:textId="48855628" w:rsidR="00135A50" w:rsidRPr="00135A50" w:rsidRDefault="00E91C49" w:rsidP="00135A50">
      <w:pPr>
        <w:pStyle w:val="Sheading1"/>
        <w:numPr>
          <w:ilvl w:val="0"/>
          <w:numId w:val="0"/>
        </w:numPr>
        <w:ind w:left="680"/>
        <w:rPr>
          <w:b w:val="0"/>
          <w:lang w:val="sr-Latn-CS" w:eastAsia="zh-TW"/>
        </w:rPr>
      </w:pPr>
      <w:r>
        <w:rPr>
          <w:b w:val="0"/>
          <w:lang w:val="sr-Latn-CS" w:eastAsia="zh-TW"/>
        </w:rPr>
        <w:t>If the request submitter takes action in the procedure via the authorized attorney, the request for the protection of rights has to contain the power of attorney in the procedure for the protection of rights.</w:t>
      </w:r>
    </w:p>
    <w:p w14:paraId="34CDFA41" w14:textId="6A4E6B33" w:rsidR="00135A50" w:rsidRPr="00135A50" w:rsidRDefault="00E91C49" w:rsidP="00135A50">
      <w:pPr>
        <w:pStyle w:val="Sheading1"/>
        <w:numPr>
          <w:ilvl w:val="0"/>
          <w:numId w:val="0"/>
        </w:numPr>
        <w:ind w:left="680"/>
        <w:rPr>
          <w:b w:val="0"/>
          <w:lang w:val="sr-Latn-CS" w:eastAsia="zh-TW"/>
        </w:rPr>
      </w:pPr>
      <w:r>
        <w:rPr>
          <w:b w:val="0"/>
          <w:lang w:val="sr-Latn-CS" w:eastAsia="zh-TW"/>
        </w:rPr>
        <w:t>The request submitter who has residence of domicile, that is the seat abroad, is obliged to appoint the attorney</w:t>
      </w:r>
      <w:r w:rsidR="00507660">
        <w:rPr>
          <w:b w:val="0"/>
          <w:lang w:val="sr-Latn-CS" w:eastAsia="zh-TW"/>
        </w:rPr>
        <w:t xml:space="preserve"> in his request for the protection of rights</w:t>
      </w:r>
      <w:r>
        <w:rPr>
          <w:b w:val="0"/>
          <w:lang w:val="sr-Latn-CS" w:eastAsia="zh-TW"/>
        </w:rPr>
        <w:t xml:space="preserve"> for receiving written documentation in </w:t>
      </w:r>
      <w:r w:rsidR="00507660">
        <w:rPr>
          <w:b w:val="0"/>
          <w:lang w:val="sr-Latn-CS" w:eastAsia="zh-TW"/>
        </w:rPr>
        <w:t>the Republic of Serbia, with all the necessary information for the communication with the appointed person.</w:t>
      </w:r>
    </w:p>
    <w:p w14:paraId="5D066661" w14:textId="1FA92539" w:rsidR="00135A50" w:rsidRPr="00135A50" w:rsidRDefault="00507660" w:rsidP="00135A50">
      <w:pPr>
        <w:pStyle w:val="Sheading1"/>
        <w:numPr>
          <w:ilvl w:val="0"/>
          <w:numId w:val="0"/>
        </w:numPr>
        <w:ind w:left="680"/>
        <w:rPr>
          <w:b w:val="0"/>
          <w:lang w:val="sr-Latn-CS" w:eastAsia="zh-TW"/>
        </w:rPr>
      </w:pPr>
      <w:r>
        <w:rPr>
          <w:b w:val="0"/>
          <w:lang w:val="sr-Latn-CS" w:eastAsia="zh-TW"/>
        </w:rPr>
        <w:t xml:space="preserve">When submitting the request for the protection of rights to the procuring entity, the request submitter has to enclose  proof of paying the fee. The proof is any document which can help to establish that the transaction of the proscribed amount has been performed, as defined in article 225 of the Law on public procurements, and that it refers to the subject request for the protection of rights.  </w:t>
      </w:r>
    </w:p>
    <w:p w14:paraId="59927E1D" w14:textId="0DEEC67C" w:rsidR="00135A50" w:rsidRDefault="00507660" w:rsidP="00135A50">
      <w:pPr>
        <w:pStyle w:val="Sheading1"/>
        <w:numPr>
          <w:ilvl w:val="0"/>
          <w:numId w:val="0"/>
        </w:numPr>
        <w:ind w:left="680"/>
        <w:rPr>
          <w:b w:val="0"/>
          <w:lang w:val="sr-Latn-CS" w:eastAsia="zh-TW"/>
        </w:rPr>
      </w:pPr>
      <w:r>
        <w:rPr>
          <w:b w:val="0"/>
          <w:lang w:val="sr-Latn-CS" w:eastAsia="zh-TW"/>
        </w:rPr>
        <w:t xml:space="preserve">A valid proof of the fee payment, pursuant to the Directions on paying  fee to the Republic commission for submitting the request for the protection of rights, has been published </w:t>
      </w:r>
      <w:r w:rsidR="00E542A1">
        <w:rPr>
          <w:b w:val="0"/>
          <w:lang w:val="sr-Latn-CS" w:eastAsia="zh-TW"/>
        </w:rPr>
        <w:t>on</w:t>
      </w:r>
      <w:r>
        <w:rPr>
          <w:b w:val="0"/>
          <w:lang w:val="sr-Latn-CS" w:eastAsia="zh-TW"/>
        </w:rPr>
        <w:t xml:space="preserve"> the site of the Republic commission. </w:t>
      </w:r>
    </w:p>
    <w:p w14:paraId="63FD076F" w14:textId="77777777" w:rsidR="00135A50" w:rsidRPr="00135A50" w:rsidRDefault="00135A50" w:rsidP="00135A50">
      <w:pPr>
        <w:pStyle w:val="Stext2"/>
        <w:rPr>
          <w:lang w:val="sr-Latn-CS" w:eastAsia="en-US"/>
        </w:rPr>
      </w:pPr>
    </w:p>
    <w:p w14:paraId="7D13128D" w14:textId="0627A50D" w:rsidR="00493E29" w:rsidRPr="00F02471" w:rsidRDefault="00507660" w:rsidP="005A0D5C">
      <w:pPr>
        <w:pStyle w:val="Sheading1"/>
        <w:rPr>
          <w:lang w:val="sr-Latn-CS"/>
        </w:rPr>
      </w:pPr>
      <w:r>
        <w:rPr>
          <w:lang w:val="sr-Latn-CS"/>
        </w:rPr>
        <w:t>The bidding guarantee</w:t>
      </w:r>
    </w:p>
    <w:p w14:paraId="5FBB9445" w14:textId="0B209803" w:rsidR="00493E29" w:rsidRPr="00F02471" w:rsidRDefault="00507660" w:rsidP="005A0D5C">
      <w:pPr>
        <w:pStyle w:val="Stext1"/>
        <w:rPr>
          <w:lang w:val="sr-Latn-CS"/>
        </w:rPr>
      </w:pPr>
      <w:r>
        <w:rPr>
          <w:lang w:val="sr-Latn-CS"/>
        </w:rPr>
        <w:t>Each bidder is obliged to enclose to his bid a bidding guarantee to prove the seriousness of the bid amounting to 5% of the total bid („The bidding guarantee“)</w:t>
      </w:r>
      <w:r w:rsidR="00872658">
        <w:rPr>
          <w:lang w:val="sr-Latn-CS"/>
        </w:rPr>
        <w:t xml:space="preserve"> to the </w:t>
      </w:r>
      <w:r w:rsidR="00E542A1">
        <w:rPr>
          <w:lang w:val="sr-Latn-CS"/>
        </w:rPr>
        <w:t>C</w:t>
      </w:r>
      <w:r w:rsidR="00872658">
        <w:rPr>
          <w:lang w:val="sr-Latn-CS"/>
        </w:rPr>
        <w:t>ity's account.</w:t>
      </w:r>
    </w:p>
    <w:p w14:paraId="3A340E62" w14:textId="50FF3778" w:rsidR="00493E29" w:rsidRPr="00F02471" w:rsidRDefault="00872658" w:rsidP="005A0D5C">
      <w:pPr>
        <w:pStyle w:val="Stext1"/>
        <w:rPr>
          <w:lang w:val="sr-Latn-CS" w:eastAsia="en-US"/>
        </w:rPr>
      </w:pPr>
      <w:r>
        <w:rPr>
          <w:lang w:val="sr-Latn-CS" w:eastAsia="en-US"/>
        </w:rPr>
        <w:t xml:space="preserve">The form and the contents of the Bidding guarantee, as well as the criterion for the acceptability of the bank which issues it, shall be defined with the Tender documentation. </w:t>
      </w:r>
    </w:p>
    <w:p w14:paraId="7A188DFB" w14:textId="64E6CBC2" w:rsidR="00493E29" w:rsidRPr="00F02471" w:rsidRDefault="00872658" w:rsidP="005A0D5C">
      <w:pPr>
        <w:pStyle w:val="Stext1"/>
        <w:rPr>
          <w:lang w:val="sr-Latn-CS" w:eastAsia="en-US"/>
        </w:rPr>
      </w:pPr>
      <w:r>
        <w:rPr>
          <w:lang w:val="sr-Latn-CS" w:eastAsia="en-US"/>
        </w:rPr>
        <w:t>The guarantee validity period must not be shorter than six months, counting from the day of the deadline for the submission of bids.</w:t>
      </w:r>
    </w:p>
    <w:p w14:paraId="1B0BC1DC" w14:textId="77777777" w:rsidR="00E3744B" w:rsidRPr="00F02471" w:rsidRDefault="00E3744B" w:rsidP="005A0D5C">
      <w:pPr>
        <w:pStyle w:val="Stext1"/>
        <w:rPr>
          <w:b/>
          <w:u w:val="single"/>
          <w:lang w:val="sr-Latn-CS" w:eastAsia="en-US"/>
        </w:rPr>
      </w:pPr>
    </w:p>
    <w:p w14:paraId="2D18C926" w14:textId="362623A0" w:rsidR="00493E29" w:rsidRPr="00F02471" w:rsidRDefault="00872658" w:rsidP="005A0D5C">
      <w:pPr>
        <w:pStyle w:val="Stext1"/>
        <w:rPr>
          <w:b/>
          <w:u w:val="single"/>
          <w:lang w:val="sr-Latn-CS" w:eastAsia="en-US"/>
        </w:rPr>
      </w:pPr>
      <w:r>
        <w:rPr>
          <w:b/>
          <w:u w:val="single"/>
          <w:lang w:val="sr-Latn-CS" w:eastAsia="en-US"/>
        </w:rPr>
        <w:t>attachments</w:t>
      </w:r>
      <w:r w:rsidR="00493E29" w:rsidRPr="00F02471">
        <w:rPr>
          <w:b/>
          <w:u w:val="single"/>
          <w:lang w:val="sr-Latn-CS" w:eastAsia="en-US"/>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6803"/>
      </w:tblGrid>
      <w:tr w:rsidR="00493E29" w:rsidRPr="00F02471" w14:paraId="7C395DA8" w14:textId="77777777" w:rsidTr="005A0D5C">
        <w:tc>
          <w:tcPr>
            <w:tcW w:w="567" w:type="dxa"/>
          </w:tcPr>
          <w:p w14:paraId="2AE9816F" w14:textId="77777777" w:rsidR="00493E29" w:rsidRPr="00F02471" w:rsidRDefault="00493E29" w:rsidP="005A0D5C">
            <w:pPr>
              <w:pStyle w:val="Stext1"/>
              <w:ind w:left="0"/>
              <w:rPr>
                <w:lang w:val="sr-Latn-CS" w:eastAsia="en-US"/>
              </w:rPr>
            </w:pPr>
            <w:r w:rsidRPr="00F02471">
              <w:rPr>
                <w:lang w:val="sr-Latn-CS" w:eastAsia="en-US"/>
              </w:rPr>
              <w:t>1)</w:t>
            </w:r>
          </w:p>
        </w:tc>
        <w:tc>
          <w:tcPr>
            <w:tcW w:w="1559" w:type="dxa"/>
          </w:tcPr>
          <w:p w14:paraId="5B1755DD" w14:textId="2EFE5637" w:rsidR="00493E29" w:rsidRPr="00F02471" w:rsidRDefault="00872658" w:rsidP="005A0D5C">
            <w:pPr>
              <w:pStyle w:val="Stext1"/>
              <w:ind w:left="0"/>
              <w:rPr>
                <w:lang w:val="sr-Latn-CS" w:eastAsia="en-US"/>
              </w:rPr>
            </w:pPr>
            <w:r>
              <w:rPr>
                <w:lang w:val="sr-Latn-CS" w:eastAsia="en-US"/>
              </w:rPr>
              <w:t>Appendix</w:t>
            </w:r>
            <w:r w:rsidR="00493E29" w:rsidRPr="00F02471">
              <w:rPr>
                <w:lang w:val="sr-Latn-CS" w:eastAsia="en-US"/>
              </w:rPr>
              <w:t xml:space="preserve"> 1 -</w:t>
            </w:r>
          </w:p>
        </w:tc>
        <w:tc>
          <w:tcPr>
            <w:tcW w:w="6803" w:type="dxa"/>
          </w:tcPr>
          <w:p w14:paraId="2945F79F" w14:textId="5232BA37" w:rsidR="00493E29" w:rsidRPr="00F02471" w:rsidRDefault="00872658" w:rsidP="005A0D5C">
            <w:pPr>
              <w:pStyle w:val="Stext1"/>
              <w:ind w:left="0"/>
              <w:rPr>
                <w:lang w:val="sr-Latn-CS" w:eastAsia="en-US"/>
              </w:rPr>
            </w:pPr>
            <w:r>
              <w:rPr>
                <w:lang w:val="sr-Latn-CS" w:eastAsia="en-US"/>
              </w:rPr>
              <w:t>The Contract on confidentiality</w:t>
            </w:r>
          </w:p>
        </w:tc>
      </w:tr>
      <w:tr w:rsidR="00493E29" w:rsidRPr="00F02471" w14:paraId="2CCDD68D" w14:textId="77777777" w:rsidTr="005A0D5C">
        <w:tc>
          <w:tcPr>
            <w:tcW w:w="567" w:type="dxa"/>
          </w:tcPr>
          <w:p w14:paraId="3FCB0080" w14:textId="77777777" w:rsidR="00493E29" w:rsidRPr="00F02471" w:rsidRDefault="00493E29" w:rsidP="005A0D5C">
            <w:pPr>
              <w:pStyle w:val="Stext1"/>
              <w:ind w:left="0"/>
              <w:rPr>
                <w:lang w:val="sr-Latn-CS" w:eastAsia="en-US"/>
              </w:rPr>
            </w:pPr>
            <w:r w:rsidRPr="00F02471">
              <w:rPr>
                <w:lang w:val="sr-Latn-CS" w:eastAsia="en-US"/>
              </w:rPr>
              <w:t>2)</w:t>
            </w:r>
          </w:p>
        </w:tc>
        <w:tc>
          <w:tcPr>
            <w:tcW w:w="1559" w:type="dxa"/>
          </w:tcPr>
          <w:p w14:paraId="69DEFBC0" w14:textId="2E6F4405" w:rsidR="00493E29" w:rsidRPr="00F02471" w:rsidRDefault="00872658" w:rsidP="005A0D5C">
            <w:pPr>
              <w:pStyle w:val="Stext1"/>
              <w:ind w:left="0"/>
              <w:rPr>
                <w:lang w:val="sr-Latn-CS" w:eastAsia="en-US"/>
              </w:rPr>
            </w:pPr>
            <w:r>
              <w:rPr>
                <w:lang w:val="sr-Latn-CS" w:eastAsia="en-US"/>
              </w:rPr>
              <w:t>Appendix</w:t>
            </w:r>
            <w:r w:rsidR="00493E29" w:rsidRPr="00F02471">
              <w:rPr>
                <w:lang w:val="sr-Latn-CS" w:eastAsia="en-US"/>
              </w:rPr>
              <w:t xml:space="preserve"> 2 -</w:t>
            </w:r>
          </w:p>
        </w:tc>
        <w:tc>
          <w:tcPr>
            <w:tcW w:w="6803" w:type="dxa"/>
          </w:tcPr>
          <w:p w14:paraId="2A6CD901" w14:textId="345AD652" w:rsidR="00493E29" w:rsidRPr="00F02471" w:rsidRDefault="00872658" w:rsidP="005A0D5C">
            <w:pPr>
              <w:pStyle w:val="Stext1"/>
              <w:ind w:left="0"/>
              <w:rPr>
                <w:lang w:val="sr-Latn-CS" w:eastAsia="en-US"/>
              </w:rPr>
            </w:pPr>
            <w:r>
              <w:rPr>
                <w:lang w:val="sr-Latn-CS" w:eastAsia="en-US"/>
              </w:rPr>
              <w:t xml:space="preserve">The conditions for the participation in the concession award procedure, and proofs for their fulfilment </w:t>
            </w:r>
          </w:p>
        </w:tc>
      </w:tr>
    </w:tbl>
    <w:p w14:paraId="6FACBB3B" w14:textId="77777777" w:rsidR="00493E29" w:rsidRPr="00F02471" w:rsidRDefault="00493E29">
      <w:pPr>
        <w:rPr>
          <w:rFonts w:ascii="Verdana" w:hAnsi="Verdana"/>
          <w:lang w:eastAsia="zh-TW"/>
        </w:rPr>
      </w:pPr>
    </w:p>
    <w:sectPr w:rsidR="00493E29" w:rsidRPr="00F02471" w:rsidSect="00413A72">
      <w:headerReference w:type="even" r:id="rId10"/>
      <w:headerReference w:type="default" r:id="rId11"/>
      <w:pgSz w:w="11906" w:h="16838" w:code="9"/>
      <w:pgMar w:top="1985" w:right="1134" w:bottom="1701"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680F" w14:textId="77777777" w:rsidR="001444B1" w:rsidRDefault="001444B1">
      <w:r>
        <w:separator/>
      </w:r>
    </w:p>
    <w:p w14:paraId="0AD1E530" w14:textId="77777777" w:rsidR="001444B1" w:rsidRDefault="001444B1"/>
    <w:p w14:paraId="31521ED5" w14:textId="77777777" w:rsidR="001444B1" w:rsidRDefault="001444B1"/>
    <w:p w14:paraId="3675944A" w14:textId="77777777" w:rsidR="001444B1" w:rsidRDefault="001444B1"/>
  </w:endnote>
  <w:endnote w:type="continuationSeparator" w:id="0">
    <w:p w14:paraId="7E3DC14C" w14:textId="77777777" w:rsidR="001444B1" w:rsidRDefault="001444B1">
      <w:r>
        <w:continuationSeparator/>
      </w:r>
    </w:p>
    <w:p w14:paraId="222D75A6" w14:textId="77777777" w:rsidR="001444B1" w:rsidRDefault="001444B1"/>
    <w:p w14:paraId="450730A7" w14:textId="77777777" w:rsidR="001444B1" w:rsidRDefault="001444B1"/>
    <w:p w14:paraId="3FE25E38" w14:textId="77777777" w:rsidR="001444B1" w:rsidRDefault="00144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78DBC" w14:textId="77777777" w:rsidR="001444B1" w:rsidRDefault="001444B1">
      <w:r>
        <w:separator/>
      </w:r>
    </w:p>
  </w:footnote>
  <w:footnote w:type="continuationSeparator" w:id="0">
    <w:p w14:paraId="6743FFB0" w14:textId="77777777" w:rsidR="001444B1" w:rsidRDefault="001444B1">
      <w:r>
        <w:continuationSeparator/>
      </w:r>
    </w:p>
  </w:footnote>
  <w:footnote w:type="continuationNotice" w:id="1">
    <w:p w14:paraId="59184FD1" w14:textId="77777777" w:rsidR="001444B1" w:rsidRDefault="00144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99FC" w14:textId="77777777" w:rsidR="005A0D5C" w:rsidRDefault="005A0D5C">
    <w:pPr>
      <w:framePr w:wrap="around" w:vAnchor="text" w:hAnchor="margin" w:xAlign="center" w:y="1"/>
    </w:pPr>
    <w:r>
      <w:fldChar w:fldCharType="begin"/>
    </w:r>
    <w:r>
      <w:instrText xml:space="preserve">PAGE  </w:instrText>
    </w:r>
    <w:r>
      <w:fldChar w:fldCharType="separate"/>
    </w:r>
    <w:r w:rsidRPr="00D126E7">
      <w:rPr>
        <w:noProof/>
        <w:lang w:val="en-US"/>
      </w:rPr>
      <w:t>1</w:t>
    </w:r>
    <w:r>
      <w:rPr>
        <w:noProof/>
      </w:rPr>
      <w:fldChar w:fldCharType="end"/>
    </w:r>
  </w:p>
  <w:p w14:paraId="48074EB5" w14:textId="77777777" w:rsidR="005A0D5C" w:rsidRDefault="005A0D5C"/>
  <w:p w14:paraId="5B6360C0" w14:textId="77777777" w:rsidR="005A0D5C" w:rsidRDefault="005A0D5C"/>
  <w:p w14:paraId="0E838E47" w14:textId="77777777" w:rsidR="005A0D5C" w:rsidRDefault="005A0D5C"/>
  <w:p w14:paraId="67F5FC2D" w14:textId="77777777" w:rsidR="005A0D5C" w:rsidRDefault="005A0D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194B" w14:textId="3DFBBF3A" w:rsidR="005A0D5C" w:rsidRDefault="005A0D5C" w:rsidP="00F22F2B">
    <w:pPr>
      <w:pStyle w:val="Snumberofpages"/>
    </w:pPr>
    <w:r>
      <w:t xml:space="preserve">- </w:t>
    </w:r>
    <w:r>
      <w:fldChar w:fldCharType="begin"/>
    </w:r>
    <w:r>
      <w:instrText xml:space="preserve"> PAGE </w:instrText>
    </w:r>
    <w:r>
      <w:fldChar w:fldCharType="separate"/>
    </w:r>
    <w:r w:rsidR="00FB0690">
      <w:rPr>
        <w:noProof/>
      </w:rPr>
      <w:t>11</w:t>
    </w:r>
    <w:r>
      <w:rPr>
        <w:noProof/>
      </w:rPr>
      <w:fldChar w:fldCharType="end"/>
    </w:r>
    <w:r>
      <w:t xml:space="preserve"> -</w:t>
    </w:r>
  </w:p>
  <w:p w14:paraId="5B8A1E4C" w14:textId="77777777" w:rsidR="005A0D5C" w:rsidRDefault="005A0D5C" w:rsidP="00D916C9">
    <w:pPr>
      <w:pStyle w:val="Snumberofpage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nsid w:val="1D3C3D43"/>
    <w:multiLevelType w:val="hybridMultilevel"/>
    <w:tmpl w:val="8800DD3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1EB25917"/>
    <w:multiLevelType w:val="hybridMultilevel"/>
    <w:tmpl w:val="16F28674"/>
    <w:lvl w:ilvl="0" w:tplc="04090011">
      <w:start w:val="1"/>
      <w:numFmt w:val="decimal"/>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nsid w:val="27565490"/>
    <w:multiLevelType w:val="multilevel"/>
    <w:tmpl w:val="C0A05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A06FFB"/>
    <w:multiLevelType w:val="hybridMultilevel"/>
    <w:tmpl w:val="812E55BC"/>
    <w:lvl w:ilvl="0" w:tplc="2FC03E9A">
      <w:start w:val="1"/>
      <w:numFmt w:val="lowerRoman"/>
      <w:lvlText w:val="(%1)"/>
      <w:lvlJc w:val="left"/>
      <w:pPr>
        <w:ind w:left="1400"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6">
    <w:nsid w:val="35734E23"/>
    <w:multiLevelType w:val="hybridMultilevel"/>
    <w:tmpl w:val="CECCFBF2"/>
    <w:lvl w:ilvl="0" w:tplc="FCD2CE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40D859C7"/>
    <w:multiLevelType w:val="hybridMultilevel"/>
    <w:tmpl w:val="D8328116"/>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9">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CEA6846"/>
    <w:multiLevelType w:val="hybridMultilevel"/>
    <w:tmpl w:val="4FEA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8B3502"/>
    <w:multiLevelType w:val="hybridMultilevel"/>
    <w:tmpl w:val="902A1CBC"/>
    <w:lvl w:ilvl="0" w:tplc="2FC03E9A">
      <w:start w:val="1"/>
      <w:numFmt w:val="lowerRoman"/>
      <w:lvlText w:val="(%1)"/>
      <w:lvlJc w:val="left"/>
      <w:pPr>
        <w:ind w:left="1400" w:hanging="360"/>
      </w:pPr>
      <w:rPr>
        <w:rFonts w:hint="default"/>
        <w:sz w:val="2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3">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575627"/>
    <w:multiLevelType w:val="hybridMultilevel"/>
    <w:tmpl w:val="99FCF4A4"/>
    <w:lvl w:ilvl="0" w:tplc="836C3C68">
      <w:start w:val="1"/>
      <w:numFmt w:val="lowerRoman"/>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9">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6"/>
  </w:num>
  <w:num w:numId="3">
    <w:abstractNumId w:val="26"/>
  </w:num>
  <w:num w:numId="4">
    <w:abstractNumId w:val="26"/>
  </w:num>
  <w:num w:numId="5">
    <w:abstractNumId w:val="11"/>
  </w:num>
  <w:num w:numId="6">
    <w:abstractNumId w:val="11"/>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29"/>
  </w:num>
  <w:num w:numId="24">
    <w:abstractNumId w:val="27"/>
  </w:num>
  <w:num w:numId="25">
    <w:abstractNumId w:val="28"/>
  </w:num>
  <w:num w:numId="26">
    <w:abstractNumId w:val="13"/>
  </w:num>
  <w:num w:numId="27">
    <w:abstractNumId w:val="15"/>
  </w:num>
  <w:num w:numId="28">
    <w:abstractNumId w:val="22"/>
  </w:num>
  <w:num w:numId="29">
    <w:abstractNumId w:val="12"/>
  </w:num>
  <w:num w:numId="30">
    <w:abstractNumId w:val="14"/>
  </w:num>
  <w:num w:numId="31">
    <w:abstractNumId w:val="18"/>
  </w:num>
  <w:num w:numId="32">
    <w:abstractNumId w:val="29"/>
  </w:num>
  <w:num w:numId="33">
    <w:abstractNumId w:val="29"/>
  </w:num>
  <w:num w:numId="34">
    <w:abstractNumId w:val="16"/>
  </w:num>
  <w:num w:numId="3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ysDS1NDU0M7C0sDRV0lEKTi0uzszPAykwrgUA4O3HySwAAAA="/>
  </w:docVars>
  <w:rsids>
    <w:rsidRoot w:val="009861AB"/>
    <w:rsid w:val="00003CAD"/>
    <w:rsid w:val="00006498"/>
    <w:rsid w:val="00007A8D"/>
    <w:rsid w:val="00010300"/>
    <w:rsid w:val="00010B25"/>
    <w:rsid w:val="0001178E"/>
    <w:rsid w:val="000117E7"/>
    <w:rsid w:val="0001749C"/>
    <w:rsid w:val="0002507D"/>
    <w:rsid w:val="000256EF"/>
    <w:rsid w:val="00025C77"/>
    <w:rsid w:val="000262AA"/>
    <w:rsid w:val="00027813"/>
    <w:rsid w:val="00032471"/>
    <w:rsid w:val="000348B1"/>
    <w:rsid w:val="00041C17"/>
    <w:rsid w:val="000434DB"/>
    <w:rsid w:val="0004482A"/>
    <w:rsid w:val="000471E9"/>
    <w:rsid w:val="00053069"/>
    <w:rsid w:val="000544F5"/>
    <w:rsid w:val="000553E0"/>
    <w:rsid w:val="00061B51"/>
    <w:rsid w:val="0006207C"/>
    <w:rsid w:val="00062395"/>
    <w:rsid w:val="00063336"/>
    <w:rsid w:val="00063CA4"/>
    <w:rsid w:val="00063EDF"/>
    <w:rsid w:val="0006798A"/>
    <w:rsid w:val="00071655"/>
    <w:rsid w:val="000778BE"/>
    <w:rsid w:val="000779F3"/>
    <w:rsid w:val="00077E88"/>
    <w:rsid w:val="00082634"/>
    <w:rsid w:val="00085580"/>
    <w:rsid w:val="0008720F"/>
    <w:rsid w:val="00092463"/>
    <w:rsid w:val="00092EC0"/>
    <w:rsid w:val="00093863"/>
    <w:rsid w:val="00094E4A"/>
    <w:rsid w:val="00094EFF"/>
    <w:rsid w:val="000A153D"/>
    <w:rsid w:val="000A4762"/>
    <w:rsid w:val="000A5AE4"/>
    <w:rsid w:val="000A5F24"/>
    <w:rsid w:val="000B21F3"/>
    <w:rsid w:val="000B4D87"/>
    <w:rsid w:val="000B4E7E"/>
    <w:rsid w:val="000C2733"/>
    <w:rsid w:val="000C5280"/>
    <w:rsid w:val="000C545D"/>
    <w:rsid w:val="000C714E"/>
    <w:rsid w:val="000D094B"/>
    <w:rsid w:val="000D2EC8"/>
    <w:rsid w:val="000E00BA"/>
    <w:rsid w:val="000E14DA"/>
    <w:rsid w:val="000E2442"/>
    <w:rsid w:val="000E2BB3"/>
    <w:rsid w:val="000E3553"/>
    <w:rsid w:val="000E4B89"/>
    <w:rsid w:val="000E5CD4"/>
    <w:rsid w:val="000E62A4"/>
    <w:rsid w:val="000F0E13"/>
    <w:rsid w:val="000F5532"/>
    <w:rsid w:val="001013D6"/>
    <w:rsid w:val="001031A8"/>
    <w:rsid w:val="00104BBD"/>
    <w:rsid w:val="00110ABE"/>
    <w:rsid w:val="00110B40"/>
    <w:rsid w:val="0011566F"/>
    <w:rsid w:val="00116249"/>
    <w:rsid w:val="00123765"/>
    <w:rsid w:val="00130ED0"/>
    <w:rsid w:val="0013219A"/>
    <w:rsid w:val="001325E0"/>
    <w:rsid w:val="001336D8"/>
    <w:rsid w:val="00135A50"/>
    <w:rsid w:val="00136EC2"/>
    <w:rsid w:val="001376A4"/>
    <w:rsid w:val="001377AE"/>
    <w:rsid w:val="00140DEC"/>
    <w:rsid w:val="001423A5"/>
    <w:rsid w:val="001444B1"/>
    <w:rsid w:val="00153A38"/>
    <w:rsid w:val="0015407C"/>
    <w:rsid w:val="00164ADF"/>
    <w:rsid w:val="001677CB"/>
    <w:rsid w:val="00171D0E"/>
    <w:rsid w:val="0017337A"/>
    <w:rsid w:val="0017391C"/>
    <w:rsid w:val="00174448"/>
    <w:rsid w:val="0017675D"/>
    <w:rsid w:val="00180C6D"/>
    <w:rsid w:val="0018333E"/>
    <w:rsid w:val="00184B81"/>
    <w:rsid w:val="00190066"/>
    <w:rsid w:val="001902C4"/>
    <w:rsid w:val="00191F28"/>
    <w:rsid w:val="001A4527"/>
    <w:rsid w:val="001A6C5D"/>
    <w:rsid w:val="001B0FF7"/>
    <w:rsid w:val="001B6B59"/>
    <w:rsid w:val="001B6CCE"/>
    <w:rsid w:val="001C01FE"/>
    <w:rsid w:val="001C0D68"/>
    <w:rsid w:val="001C26B1"/>
    <w:rsid w:val="001C423D"/>
    <w:rsid w:val="001C67A1"/>
    <w:rsid w:val="001D08B8"/>
    <w:rsid w:val="001D4588"/>
    <w:rsid w:val="001D4E01"/>
    <w:rsid w:val="001D7BA0"/>
    <w:rsid w:val="001E0D3E"/>
    <w:rsid w:val="001E25A1"/>
    <w:rsid w:val="001E29F4"/>
    <w:rsid w:val="001E359F"/>
    <w:rsid w:val="001F1197"/>
    <w:rsid w:val="001F2A28"/>
    <w:rsid w:val="001F3755"/>
    <w:rsid w:val="001F3B01"/>
    <w:rsid w:val="001F3F7B"/>
    <w:rsid w:val="002007C6"/>
    <w:rsid w:val="00201B76"/>
    <w:rsid w:val="0020705B"/>
    <w:rsid w:val="002072CE"/>
    <w:rsid w:val="002114ED"/>
    <w:rsid w:val="00213571"/>
    <w:rsid w:val="00213D53"/>
    <w:rsid w:val="002153E4"/>
    <w:rsid w:val="002245BD"/>
    <w:rsid w:val="00224D14"/>
    <w:rsid w:val="00227999"/>
    <w:rsid w:val="002315D1"/>
    <w:rsid w:val="0023781D"/>
    <w:rsid w:val="00240202"/>
    <w:rsid w:val="0024331D"/>
    <w:rsid w:val="00243904"/>
    <w:rsid w:val="00245DDD"/>
    <w:rsid w:val="00250370"/>
    <w:rsid w:val="002503B7"/>
    <w:rsid w:val="002506A3"/>
    <w:rsid w:val="002507FC"/>
    <w:rsid w:val="00254E76"/>
    <w:rsid w:val="00260696"/>
    <w:rsid w:val="00260CBE"/>
    <w:rsid w:val="00260F42"/>
    <w:rsid w:val="00261E8B"/>
    <w:rsid w:val="002633C1"/>
    <w:rsid w:val="00266072"/>
    <w:rsid w:val="00282FA1"/>
    <w:rsid w:val="002841E2"/>
    <w:rsid w:val="00284E2B"/>
    <w:rsid w:val="0029052B"/>
    <w:rsid w:val="00294F49"/>
    <w:rsid w:val="002967F3"/>
    <w:rsid w:val="002A6C50"/>
    <w:rsid w:val="002A7436"/>
    <w:rsid w:val="002B2532"/>
    <w:rsid w:val="002B30C6"/>
    <w:rsid w:val="002B4A24"/>
    <w:rsid w:val="002B4F9B"/>
    <w:rsid w:val="002C2EE5"/>
    <w:rsid w:val="002C3D5F"/>
    <w:rsid w:val="002C43F1"/>
    <w:rsid w:val="002C64D7"/>
    <w:rsid w:val="002D0504"/>
    <w:rsid w:val="002E2941"/>
    <w:rsid w:val="002F02F3"/>
    <w:rsid w:val="002F3B18"/>
    <w:rsid w:val="002F438F"/>
    <w:rsid w:val="002F54E4"/>
    <w:rsid w:val="002F5B92"/>
    <w:rsid w:val="00301CFA"/>
    <w:rsid w:val="00304992"/>
    <w:rsid w:val="00307DD9"/>
    <w:rsid w:val="0031058B"/>
    <w:rsid w:val="00310A4C"/>
    <w:rsid w:val="00312492"/>
    <w:rsid w:val="00313BDF"/>
    <w:rsid w:val="00313E45"/>
    <w:rsid w:val="00313E95"/>
    <w:rsid w:val="00322A2A"/>
    <w:rsid w:val="0032373E"/>
    <w:rsid w:val="003245DC"/>
    <w:rsid w:val="003252F4"/>
    <w:rsid w:val="00340E7F"/>
    <w:rsid w:val="003425C5"/>
    <w:rsid w:val="003428A8"/>
    <w:rsid w:val="00344798"/>
    <w:rsid w:val="00345219"/>
    <w:rsid w:val="00347B18"/>
    <w:rsid w:val="00347F4B"/>
    <w:rsid w:val="0035016B"/>
    <w:rsid w:val="00350D85"/>
    <w:rsid w:val="00353027"/>
    <w:rsid w:val="00354B3B"/>
    <w:rsid w:val="00355D22"/>
    <w:rsid w:val="00357841"/>
    <w:rsid w:val="00357F3F"/>
    <w:rsid w:val="00360370"/>
    <w:rsid w:val="003612B8"/>
    <w:rsid w:val="00362434"/>
    <w:rsid w:val="00367403"/>
    <w:rsid w:val="003744FC"/>
    <w:rsid w:val="0038276A"/>
    <w:rsid w:val="00382F42"/>
    <w:rsid w:val="00383ED0"/>
    <w:rsid w:val="003903CA"/>
    <w:rsid w:val="0039606C"/>
    <w:rsid w:val="003A193C"/>
    <w:rsid w:val="003A51A9"/>
    <w:rsid w:val="003A5F8F"/>
    <w:rsid w:val="003A63D1"/>
    <w:rsid w:val="003A6BE0"/>
    <w:rsid w:val="003B3A66"/>
    <w:rsid w:val="003B653F"/>
    <w:rsid w:val="003C2732"/>
    <w:rsid w:val="003C2D5C"/>
    <w:rsid w:val="003C4D6D"/>
    <w:rsid w:val="003C789F"/>
    <w:rsid w:val="003D2C92"/>
    <w:rsid w:val="003D3101"/>
    <w:rsid w:val="003D5B34"/>
    <w:rsid w:val="003E1D90"/>
    <w:rsid w:val="003E2792"/>
    <w:rsid w:val="003E2AB8"/>
    <w:rsid w:val="003F1670"/>
    <w:rsid w:val="003F2337"/>
    <w:rsid w:val="003F491A"/>
    <w:rsid w:val="0040168A"/>
    <w:rsid w:val="0040266A"/>
    <w:rsid w:val="004032EB"/>
    <w:rsid w:val="00404DBF"/>
    <w:rsid w:val="004079C3"/>
    <w:rsid w:val="00412856"/>
    <w:rsid w:val="004133F6"/>
    <w:rsid w:val="00413A72"/>
    <w:rsid w:val="00415239"/>
    <w:rsid w:val="00417E35"/>
    <w:rsid w:val="0042043C"/>
    <w:rsid w:val="00423B04"/>
    <w:rsid w:val="00423CC0"/>
    <w:rsid w:val="00424236"/>
    <w:rsid w:val="00424FBF"/>
    <w:rsid w:val="00425FD8"/>
    <w:rsid w:val="00434D0F"/>
    <w:rsid w:val="0043595E"/>
    <w:rsid w:val="004365A0"/>
    <w:rsid w:val="00437B3E"/>
    <w:rsid w:val="004434E1"/>
    <w:rsid w:val="004436EC"/>
    <w:rsid w:val="004447B3"/>
    <w:rsid w:val="0044487A"/>
    <w:rsid w:val="00456E10"/>
    <w:rsid w:val="00462010"/>
    <w:rsid w:val="0046273E"/>
    <w:rsid w:val="00463EFF"/>
    <w:rsid w:val="00465222"/>
    <w:rsid w:val="00465784"/>
    <w:rsid w:val="00465A5F"/>
    <w:rsid w:val="004668A0"/>
    <w:rsid w:val="004729EA"/>
    <w:rsid w:val="004743AB"/>
    <w:rsid w:val="00476358"/>
    <w:rsid w:val="00476710"/>
    <w:rsid w:val="0047740F"/>
    <w:rsid w:val="00477909"/>
    <w:rsid w:val="0048206E"/>
    <w:rsid w:val="00482676"/>
    <w:rsid w:val="00482BAE"/>
    <w:rsid w:val="004860E1"/>
    <w:rsid w:val="00491A41"/>
    <w:rsid w:val="00493E29"/>
    <w:rsid w:val="00494481"/>
    <w:rsid w:val="0049702B"/>
    <w:rsid w:val="00497EF6"/>
    <w:rsid w:val="00497F7D"/>
    <w:rsid w:val="004A67C6"/>
    <w:rsid w:val="004B2F0B"/>
    <w:rsid w:val="004B3733"/>
    <w:rsid w:val="004B375F"/>
    <w:rsid w:val="004B377D"/>
    <w:rsid w:val="004C1BED"/>
    <w:rsid w:val="004C495A"/>
    <w:rsid w:val="004C6C96"/>
    <w:rsid w:val="004D04DD"/>
    <w:rsid w:val="004D0D6A"/>
    <w:rsid w:val="004D17DA"/>
    <w:rsid w:val="004D2F50"/>
    <w:rsid w:val="004D5843"/>
    <w:rsid w:val="004E0D60"/>
    <w:rsid w:val="004E0F72"/>
    <w:rsid w:val="004E3900"/>
    <w:rsid w:val="004E6899"/>
    <w:rsid w:val="004E76D4"/>
    <w:rsid w:val="004F474C"/>
    <w:rsid w:val="004F4C9F"/>
    <w:rsid w:val="00507660"/>
    <w:rsid w:val="00507CAB"/>
    <w:rsid w:val="0051375E"/>
    <w:rsid w:val="00513809"/>
    <w:rsid w:val="00513BBA"/>
    <w:rsid w:val="005159F9"/>
    <w:rsid w:val="00515BB6"/>
    <w:rsid w:val="005160EC"/>
    <w:rsid w:val="00517267"/>
    <w:rsid w:val="005213A3"/>
    <w:rsid w:val="00522792"/>
    <w:rsid w:val="0052496E"/>
    <w:rsid w:val="00525029"/>
    <w:rsid w:val="00530DD4"/>
    <w:rsid w:val="005319D8"/>
    <w:rsid w:val="005351AB"/>
    <w:rsid w:val="0053540D"/>
    <w:rsid w:val="00535788"/>
    <w:rsid w:val="00536775"/>
    <w:rsid w:val="005425F0"/>
    <w:rsid w:val="00542831"/>
    <w:rsid w:val="0054609C"/>
    <w:rsid w:val="0054638A"/>
    <w:rsid w:val="0054663B"/>
    <w:rsid w:val="005466A1"/>
    <w:rsid w:val="005468F5"/>
    <w:rsid w:val="00550950"/>
    <w:rsid w:val="00553109"/>
    <w:rsid w:val="005538D6"/>
    <w:rsid w:val="005574CC"/>
    <w:rsid w:val="005609D5"/>
    <w:rsid w:val="00564194"/>
    <w:rsid w:val="0057314B"/>
    <w:rsid w:val="00574DE2"/>
    <w:rsid w:val="00580DBD"/>
    <w:rsid w:val="00581F08"/>
    <w:rsid w:val="00582AEB"/>
    <w:rsid w:val="005844F3"/>
    <w:rsid w:val="00584627"/>
    <w:rsid w:val="00586BD8"/>
    <w:rsid w:val="005948AA"/>
    <w:rsid w:val="005A00FD"/>
    <w:rsid w:val="005A0219"/>
    <w:rsid w:val="005A0D21"/>
    <w:rsid w:val="005A0D5C"/>
    <w:rsid w:val="005A1494"/>
    <w:rsid w:val="005A41B7"/>
    <w:rsid w:val="005A6CB6"/>
    <w:rsid w:val="005B2C80"/>
    <w:rsid w:val="005B313C"/>
    <w:rsid w:val="005B4BDB"/>
    <w:rsid w:val="005B6B61"/>
    <w:rsid w:val="005C1475"/>
    <w:rsid w:val="005C25F7"/>
    <w:rsid w:val="005C37D5"/>
    <w:rsid w:val="005C3E76"/>
    <w:rsid w:val="005C50C5"/>
    <w:rsid w:val="005C5300"/>
    <w:rsid w:val="005C6890"/>
    <w:rsid w:val="005C72D6"/>
    <w:rsid w:val="005D0175"/>
    <w:rsid w:val="005D3E67"/>
    <w:rsid w:val="005E34E6"/>
    <w:rsid w:val="005E364A"/>
    <w:rsid w:val="005E6FAF"/>
    <w:rsid w:val="005E7286"/>
    <w:rsid w:val="005F008C"/>
    <w:rsid w:val="005F5108"/>
    <w:rsid w:val="005F571F"/>
    <w:rsid w:val="005F5DC8"/>
    <w:rsid w:val="0060121C"/>
    <w:rsid w:val="00602360"/>
    <w:rsid w:val="00602738"/>
    <w:rsid w:val="00614B0F"/>
    <w:rsid w:val="00615201"/>
    <w:rsid w:val="0061600C"/>
    <w:rsid w:val="00626532"/>
    <w:rsid w:val="00626C0A"/>
    <w:rsid w:val="00627F27"/>
    <w:rsid w:val="006314B0"/>
    <w:rsid w:val="00631A21"/>
    <w:rsid w:val="0063383A"/>
    <w:rsid w:val="00635DCE"/>
    <w:rsid w:val="006366DD"/>
    <w:rsid w:val="00641B76"/>
    <w:rsid w:val="00642175"/>
    <w:rsid w:val="006442B7"/>
    <w:rsid w:val="00646A10"/>
    <w:rsid w:val="0064759F"/>
    <w:rsid w:val="00652B28"/>
    <w:rsid w:val="006578C2"/>
    <w:rsid w:val="006602D1"/>
    <w:rsid w:val="00662ADC"/>
    <w:rsid w:val="00663F28"/>
    <w:rsid w:val="00670B6A"/>
    <w:rsid w:val="00673F1F"/>
    <w:rsid w:val="0067454E"/>
    <w:rsid w:val="00680DAB"/>
    <w:rsid w:val="00681B08"/>
    <w:rsid w:val="00683B14"/>
    <w:rsid w:val="00685D07"/>
    <w:rsid w:val="006876EA"/>
    <w:rsid w:val="00690B03"/>
    <w:rsid w:val="006933BE"/>
    <w:rsid w:val="00696AC2"/>
    <w:rsid w:val="006A15A8"/>
    <w:rsid w:val="006A51D5"/>
    <w:rsid w:val="006A5842"/>
    <w:rsid w:val="006A58CB"/>
    <w:rsid w:val="006B2935"/>
    <w:rsid w:val="006B3F7C"/>
    <w:rsid w:val="006B43D2"/>
    <w:rsid w:val="006B43E3"/>
    <w:rsid w:val="006C2492"/>
    <w:rsid w:val="006C4F0F"/>
    <w:rsid w:val="006C5841"/>
    <w:rsid w:val="006D0B55"/>
    <w:rsid w:val="006D29B0"/>
    <w:rsid w:val="006D32B7"/>
    <w:rsid w:val="006D470F"/>
    <w:rsid w:val="006D4812"/>
    <w:rsid w:val="006D4857"/>
    <w:rsid w:val="006D4F61"/>
    <w:rsid w:val="006D534C"/>
    <w:rsid w:val="006D7810"/>
    <w:rsid w:val="006E28E2"/>
    <w:rsid w:val="006E36A5"/>
    <w:rsid w:val="006F268C"/>
    <w:rsid w:val="006F3B67"/>
    <w:rsid w:val="006F4E54"/>
    <w:rsid w:val="007012AF"/>
    <w:rsid w:val="00702E01"/>
    <w:rsid w:val="007032C3"/>
    <w:rsid w:val="00705BDB"/>
    <w:rsid w:val="007064A4"/>
    <w:rsid w:val="0071019B"/>
    <w:rsid w:val="0071070E"/>
    <w:rsid w:val="007151B3"/>
    <w:rsid w:val="0072084E"/>
    <w:rsid w:val="00723E02"/>
    <w:rsid w:val="007254B2"/>
    <w:rsid w:val="00726F41"/>
    <w:rsid w:val="00727C4A"/>
    <w:rsid w:val="00737260"/>
    <w:rsid w:val="00740F77"/>
    <w:rsid w:val="00743D09"/>
    <w:rsid w:val="00744454"/>
    <w:rsid w:val="007444DB"/>
    <w:rsid w:val="00747488"/>
    <w:rsid w:val="0075177B"/>
    <w:rsid w:val="00752CDA"/>
    <w:rsid w:val="007655E7"/>
    <w:rsid w:val="007713CE"/>
    <w:rsid w:val="00771F14"/>
    <w:rsid w:val="00772024"/>
    <w:rsid w:val="00775A52"/>
    <w:rsid w:val="007830CF"/>
    <w:rsid w:val="00785374"/>
    <w:rsid w:val="00790EE7"/>
    <w:rsid w:val="007910D3"/>
    <w:rsid w:val="0079312D"/>
    <w:rsid w:val="00793CD9"/>
    <w:rsid w:val="00794CE8"/>
    <w:rsid w:val="007A49DD"/>
    <w:rsid w:val="007A64BA"/>
    <w:rsid w:val="007B0681"/>
    <w:rsid w:val="007B4350"/>
    <w:rsid w:val="007B6FFB"/>
    <w:rsid w:val="007C0AA6"/>
    <w:rsid w:val="007C598A"/>
    <w:rsid w:val="007D0188"/>
    <w:rsid w:val="007D40ED"/>
    <w:rsid w:val="007D5678"/>
    <w:rsid w:val="007D56A2"/>
    <w:rsid w:val="007D7726"/>
    <w:rsid w:val="007E0F06"/>
    <w:rsid w:val="007E29D4"/>
    <w:rsid w:val="007E677E"/>
    <w:rsid w:val="007F419D"/>
    <w:rsid w:val="00801AC2"/>
    <w:rsid w:val="008031E4"/>
    <w:rsid w:val="00803433"/>
    <w:rsid w:val="008035C5"/>
    <w:rsid w:val="00805354"/>
    <w:rsid w:val="00805AF5"/>
    <w:rsid w:val="0080627E"/>
    <w:rsid w:val="00814ACF"/>
    <w:rsid w:val="00820F63"/>
    <w:rsid w:val="008253A6"/>
    <w:rsid w:val="008328AF"/>
    <w:rsid w:val="00833733"/>
    <w:rsid w:val="00833866"/>
    <w:rsid w:val="0083538A"/>
    <w:rsid w:val="008407A0"/>
    <w:rsid w:val="00845FE7"/>
    <w:rsid w:val="00860062"/>
    <w:rsid w:val="008656C4"/>
    <w:rsid w:val="008659A2"/>
    <w:rsid w:val="0086640C"/>
    <w:rsid w:val="00866CAF"/>
    <w:rsid w:val="00872658"/>
    <w:rsid w:val="0087342C"/>
    <w:rsid w:val="008760D9"/>
    <w:rsid w:val="0087639E"/>
    <w:rsid w:val="00876A4D"/>
    <w:rsid w:val="00877B33"/>
    <w:rsid w:val="00877FB2"/>
    <w:rsid w:val="00880FB6"/>
    <w:rsid w:val="008824DB"/>
    <w:rsid w:val="00893D77"/>
    <w:rsid w:val="008A1706"/>
    <w:rsid w:val="008A1B24"/>
    <w:rsid w:val="008A1F21"/>
    <w:rsid w:val="008A435F"/>
    <w:rsid w:val="008A4544"/>
    <w:rsid w:val="008A7762"/>
    <w:rsid w:val="008B03F6"/>
    <w:rsid w:val="008B135E"/>
    <w:rsid w:val="008B1D4D"/>
    <w:rsid w:val="008B254B"/>
    <w:rsid w:val="008B521A"/>
    <w:rsid w:val="008B5528"/>
    <w:rsid w:val="008C480D"/>
    <w:rsid w:val="008C608D"/>
    <w:rsid w:val="008C7E21"/>
    <w:rsid w:val="008D34E6"/>
    <w:rsid w:val="008D3AF9"/>
    <w:rsid w:val="008D4183"/>
    <w:rsid w:val="008D7494"/>
    <w:rsid w:val="008D7D7C"/>
    <w:rsid w:val="008E189B"/>
    <w:rsid w:val="008E3679"/>
    <w:rsid w:val="008E488A"/>
    <w:rsid w:val="009007A3"/>
    <w:rsid w:val="0090351A"/>
    <w:rsid w:val="0090485F"/>
    <w:rsid w:val="00904BB2"/>
    <w:rsid w:val="00906170"/>
    <w:rsid w:val="00913755"/>
    <w:rsid w:val="00915CA0"/>
    <w:rsid w:val="00921B7A"/>
    <w:rsid w:val="0092574E"/>
    <w:rsid w:val="00926F1C"/>
    <w:rsid w:val="00936F5E"/>
    <w:rsid w:val="0094072C"/>
    <w:rsid w:val="00944663"/>
    <w:rsid w:val="00945B80"/>
    <w:rsid w:val="009460FD"/>
    <w:rsid w:val="00952922"/>
    <w:rsid w:val="00954188"/>
    <w:rsid w:val="009570FC"/>
    <w:rsid w:val="00960507"/>
    <w:rsid w:val="009611B5"/>
    <w:rsid w:val="009618E5"/>
    <w:rsid w:val="00963786"/>
    <w:rsid w:val="00964279"/>
    <w:rsid w:val="00971863"/>
    <w:rsid w:val="0097327B"/>
    <w:rsid w:val="00974118"/>
    <w:rsid w:val="00977CA2"/>
    <w:rsid w:val="009861AB"/>
    <w:rsid w:val="00986309"/>
    <w:rsid w:val="00991788"/>
    <w:rsid w:val="00991D9F"/>
    <w:rsid w:val="00993DF0"/>
    <w:rsid w:val="00997126"/>
    <w:rsid w:val="009974E6"/>
    <w:rsid w:val="00997F63"/>
    <w:rsid w:val="009A5B05"/>
    <w:rsid w:val="009A5E68"/>
    <w:rsid w:val="009B1F6C"/>
    <w:rsid w:val="009B4F74"/>
    <w:rsid w:val="009B67C3"/>
    <w:rsid w:val="009C10F9"/>
    <w:rsid w:val="009C1EB0"/>
    <w:rsid w:val="009C2696"/>
    <w:rsid w:val="009C2A02"/>
    <w:rsid w:val="009C2F09"/>
    <w:rsid w:val="009C3501"/>
    <w:rsid w:val="009D1278"/>
    <w:rsid w:val="009D12EB"/>
    <w:rsid w:val="009D25EC"/>
    <w:rsid w:val="009D7030"/>
    <w:rsid w:val="009D7F2F"/>
    <w:rsid w:val="009F09AF"/>
    <w:rsid w:val="009F16B0"/>
    <w:rsid w:val="009F60A0"/>
    <w:rsid w:val="00A0179F"/>
    <w:rsid w:val="00A01D86"/>
    <w:rsid w:val="00A045EF"/>
    <w:rsid w:val="00A05B42"/>
    <w:rsid w:val="00A07EBA"/>
    <w:rsid w:val="00A105E7"/>
    <w:rsid w:val="00A11421"/>
    <w:rsid w:val="00A1197C"/>
    <w:rsid w:val="00A11E5E"/>
    <w:rsid w:val="00A156AB"/>
    <w:rsid w:val="00A242CB"/>
    <w:rsid w:val="00A32187"/>
    <w:rsid w:val="00A3435B"/>
    <w:rsid w:val="00A35B62"/>
    <w:rsid w:val="00A40AE7"/>
    <w:rsid w:val="00A4590A"/>
    <w:rsid w:val="00A46F57"/>
    <w:rsid w:val="00A5269D"/>
    <w:rsid w:val="00A572CF"/>
    <w:rsid w:val="00A62362"/>
    <w:rsid w:val="00A62B14"/>
    <w:rsid w:val="00A64395"/>
    <w:rsid w:val="00A65C0E"/>
    <w:rsid w:val="00A6760D"/>
    <w:rsid w:val="00A70127"/>
    <w:rsid w:val="00A82A20"/>
    <w:rsid w:val="00A82D64"/>
    <w:rsid w:val="00A83D00"/>
    <w:rsid w:val="00A8527F"/>
    <w:rsid w:val="00A87442"/>
    <w:rsid w:val="00A90586"/>
    <w:rsid w:val="00A90610"/>
    <w:rsid w:val="00A90798"/>
    <w:rsid w:val="00A9100A"/>
    <w:rsid w:val="00A975CF"/>
    <w:rsid w:val="00AA06BD"/>
    <w:rsid w:val="00AA13A3"/>
    <w:rsid w:val="00AA6249"/>
    <w:rsid w:val="00AB65FE"/>
    <w:rsid w:val="00AB7313"/>
    <w:rsid w:val="00AC0470"/>
    <w:rsid w:val="00AC0F8E"/>
    <w:rsid w:val="00AC2455"/>
    <w:rsid w:val="00AC3D15"/>
    <w:rsid w:val="00AC64B1"/>
    <w:rsid w:val="00AD04FB"/>
    <w:rsid w:val="00AD09AE"/>
    <w:rsid w:val="00AD359F"/>
    <w:rsid w:val="00AE182E"/>
    <w:rsid w:val="00AE3D97"/>
    <w:rsid w:val="00AE4D77"/>
    <w:rsid w:val="00AE51C1"/>
    <w:rsid w:val="00AE6605"/>
    <w:rsid w:val="00AF0658"/>
    <w:rsid w:val="00AF1B81"/>
    <w:rsid w:val="00AF56FF"/>
    <w:rsid w:val="00AF69E9"/>
    <w:rsid w:val="00B013AC"/>
    <w:rsid w:val="00B0158D"/>
    <w:rsid w:val="00B01977"/>
    <w:rsid w:val="00B12784"/>
    <w:rsid w:val="00B132E5"/>
    <w:rsid w:val="00B14A73"/>
    <w:rsid w:val="00B14F15"/>
    <w:rsid w:val="00B1613C"/>
    <w:rsid w:val="00B27347"/>
    <w:rsid w:val="00B27AEF"/>
    <w:rsid w:val="00B31CE6"/>
    <w:rsid w:val="00B3414C"/>
    <w:rsid w:val="00B341E8"/>
    <w:rsid w:val="00B37130"/>
    <w:rsid w:val="00B40D26"/>
    <w:rsid w:val="00B40EDC"/>
    <w:rsid w:val="00B422D0"/>
    <w:rsid w:val="00B46044"/>
    <w:rsid w:val="00B50537"/>
    <w:rsid w:val="00B511EB"/>
    <w:rsid w:val="00B52493"/>
    <w:rsid w:val="00B55DD0"/>
    <w:rsid w:val="00B62058"/>
    <w:rsid w:val="00B6772D"/>
    <w:rsid w:val="00B7051F"/>
    <w:rsid w:val="00B72BF7"/>
    <w:rsid w:val="00B73F09"/>
    <w:rsid w:val="00B8139D"/>
    <w:rsid w:val="00B8258D"/>
    <w:rsid w:val="00B84F56"/>
    <w:rsid w:val="00BA5616"/>
    <w:rsid w:val="00BA7759"/>
    <w:rsid w:val="00BB034E"/>
    <w:rsid w:val="00BB17E6"/>
    <w:rsid w:val="00BB248A"/>
    <w:rsid w:val="00BC0D77"/>
    <w:rsid w:val="00BC1BBA"/>
    <w:rsid w:val="00BC2490"/>
    <w:rsid w:val="00BC2670"/>
    <w:rsid w:val="00BC322E"/>
    <w:rsid w:val="00BC3A1E"/>
    <w:rsid w:val="00BC549A"/>
    <w:rsid w:val="00BC6681"/>
    <w:rsid w:val="00BD11DB"/>
    <w:rsid w:val="00BD144A"/>
    <w:rsid w:val="00BD3796"/>
    <w:rsid w:val="00BD389C"/>
    <w:rsid w:val="00BD5A05"/>
    <w:rsid w:val="00BD6085"/>
    <w:rsid w:val="00BE1539"/>
    <w:rsid w:val="00BE2B1A"/>
    <w:rsid w:val="00BE36FD"/>
    <w:rsid w:val="00BE72C1"/>
    <w:rsid w:val="00BE76E1"/>
    <w:rsid w:val="00BF0D72"/>
    <w:rsid w:val="00BF1972"/>
    <w:rsid w:val="00BF2684"/>
    <w:rsid w:val="00BF3DC5"/>
    <w:rsid w:val="00BF4D82"/>
    <w:rsid w:val="00C053D3"/>
    <w:rsid w:val="00C05799"/>
    <w:rsid w:val="00C07F91"/>
    <w:rsid w:val="00C15304"/>
    <w:rsid w:val="00C20FEC"/>
    <w:rsid w:val="00C22917"/>
    <w:rsid w:val="00C22984"/>
    <w:rsid w:val="00C230EA"/>
    <w:rsid w:val="00C247D6"/>
    <w:rsid w:val="00C2598B"/>
    <w:rsid w:val="00C278AF"/>
    <w:rsid w:val="00C3066B"/>
    <w:rsid w:val="00C30E86"/>
    <w:rsid w:val="00C411BC"/>
    <w:rsid w:val="00C435DA"/>
    <w:rsid w:val="00C50611"/>
    <w:rsid w:val="00C522A4"/>
    <w:rsid w:val="00C5330A"/>
    <w:rsid w:val="00C536A4"/>
    <w:rsid w:val="00C540B1"/>
    <w:rsid w:val="00C545DB"/>
    <w:rsid w:val="00C566EA"/>
    <w:rsid w:val="00C606D1"/>
    <w:rsid w:val="00C626F1"/>
    <w:rsid w:val="00C6394D"/>
    <w:rsid w:val="00C664FE"/>
    <w:rsid w:val="00C67A35"/>
    <w:rsid w:val="00C710A2"/>
    <w:rsid w:val="00C72D5A"/>
    <w:rsid w:val="00C73A1C"/>
    <w:rsid w:val="00C7608C"/>
    <w:rsid w:val="00C83C1B"/>
    <w:rsid w:val="00C845B5"/>
    <w:rsid w:val="00C8628C"/>
    <w:rsid w:val="00C90D87"/>
    <w:rsid w:val="00C912D4"/>
    <w:rsid w:val="00C913CA"/>
    <w:rsid w:val="00C91E6D"/>
    <w:rsid w:val="00C94421"/>
    <w:rsid w:val="00C94DE6"/>
    <w:rsid w:val="00C95171"/>
    <w:rsid w:val="00C95683"/>
    <w:rsid w:val="00C95EBF"/>
    <w:rsid w:val="00CA323C"/>
    <w:rsid w:val="00CA4253"/>
    <w:rsid w:val="00CB23A1"/>
    <w:rsid w:val="00CB3DD8"/>
    <w:rsid w:val="00CC0640"/>
    <w:rsid w:val="00CC1052"/>
    <w:rsid w:val="00CC1350"/>
    <w:rsid w:val="00CC37DE"/>
    <w:rsid w:val="00CC560D"/>
    <w:rsid w:val="00CC7893"/>
    <w:rsid w:val="00CD2B65"/>
    <w:rsid w:val="00CE1E93"/>
    <w:rsid w:val="00CE26A1"/>
    <w:rsid w:val="00CE3CA5"/>
    <w:rsid w:val="00CE59EE"/>
    <w:rsid w:val="00CE5C55"/>
    <w:rsid w:val="00CF15E8"/>
    <w:rsid w:val="00CF21CF"/>
    <w:rsid w:val="00CF35C4"/>
    <w:rsid w:val="00CF4239"/>
    <w:rsid w:val="00CF5118"/>
    <w:rsid w:val="00CF67DF"/>
    <w:rsid w:val="00CF6D12"/>
    <w:rsid w:val="00CF7113"/>
    <w:rsid w:val="00D0028D"/>
    <w:rsid w:val="00D03C64"/>
    <w:rsid w:val="00D03EE6"/>
    <w:rsid w:val="00D04E50"/>
    <w:rsid w:val="00D061C7"/>
    <w:rsid w:val="00D12328"/>
    <w:rsid w:val="00D126E3"/>
    <w:rsid w:val="00D126E7"/>
    <w:rsid w:val="00D138EC"/>
    <w:rsid w:val="00D14FA5"/>
    <w:rsid w:val="00D214DA"/>
    <w:rsid w:val="00D21E9D"/>
    <w:rsid w:val="00D22E8A"/>
    <w:rsid w:val="00D2496C"/>
    <w:rsid w:val="00D254ED"/>
    <w:rsid w:val="00D25DB5"/>
    <w:rsid w:val="00D336E1"/>
    <w:rsid w:val="00D34A96"/>
    <w:rsid w:val="00D36F61"/>
    <w:rsid w:val="00D37E58"/>
    <w:rsid w:val="00D4250D"/>
    <w:rsid w:val="00D42971"/>
    <w:rsid w:val="00D43B23"/>
    <w:rsid w:val="00D46C9E"/>
    <w:rsid w:val="00D47180"/>
    <w:rsid w:val="00D50436"/>
    <w:rsid w:val="00D50D57"/>
    <w:rsid w:val="00D513C7"/>
    <w:rsid w:val="00D55650"/>
    <w:rsid w:val="00D65F37"/>
    <w:rsid w:val="00D66BD5"/>
    <w:rsid w:val="00D73E1E"/>
    <w:rsid w:val="00D762E6"/>
    <w:rsid w:val="00D80739"/>
    <w:rsid w:val="00D81076"/>
    <w:rsid w:val="00D81FEE"/>
    <w:rsid w:val="00D85799"/>
    <w:rsid w:val="00D85FEB"/>
    <w:rsid w:val="00D87B3F"/>
    <w:rsid w:val="00D916C9"/>
    <w:rsid w:val="00DA2682"/>
    <w:rsid w:val="00DA3233"/>
    <w:rsid w:val="00DA340D"/>
    <w:rsid w:val="00DA4240"/>
    <w:rsid w:val="00DB41C2"/>
    <w:rsid w:val="00DB4F42"/>
    <w:rsid w:val="00DB601D"/>
    <w:rsid w:val="00DC032F"/>
    <w:rsid w:val="00DC23F1"/>
    <w:rsid w:val="00DC2D70"/>
    <w:rsid w:val="00DC47A6"/>
    <w:rsid w:val="00DC5985"/>
    <w:rsid w:val="00DD021C"/>
    <w:rsid w:val="00DD07FF"/>
    <w:rsid w:val="00DD7A14"/>
    <w:rsid w:val="00DE0617"/>
    <w:rsid w:val="00DE14DF"/>
    <w:rsid w:val="00DE4EC9"/>
    <w:rsid w:val="00DE5B90"/>
    <w:rsid w:val="00DE7F88"/>
    <w:rsid w:val="00DF00B4"/>
    <w:rsid w:val="00DF0B4B"/>
    <w:rsid w:val="00DF3314"/>
    <w:rsid w:val="00DF333E"/>
    <w:rsid w:val="00E01D1D"/>
    <w:rsid w:val="00E0507F"/>
    <w:rsid w:val="00E111E8"/>
    <w:rsid w:val="00E11924"/>
    <w:rsid w:val="00E15DDA"/>
    <w:rsid w:val="00E15E6D"/>
    <w:rsid w:val="00E16FD5"/>
    <w:rsid w:val="00E24A40"/>
    <w:rsid w:val="00E25222"/>
    <w:rsid w:val="00E270C3"/>
    <w:rsid w:val="00E2732E"/>
    <w:rsid w:val="00E30B18"/>
    <w:rsid w:val="00E3178F"/>
    <w:rsid w:val="00E33914"/>
    <w:rsid w:val="00E34289"/>
    <w:rsid w:val="00E36758"/>
    <w:rsid w:val="00E36A43"/>
    <w:rsid w:val="00E3744B"/>
    <w:rsid w:val="00E4249B"/>
    <w:rsid w:val="00E42E1E"/>
    <w:rsid w:val="00E50C16"/>
    <w:rsid w:val="00E53242"/>
    <w:rsid w:val="00E542A1"/>
    <w:rsid w:val="00E54FF9"/>
    <w:rsid w:val="00E6049D"/>
    <w:rsid w:val="00E64577"/>
    <w:rsid w:val="00E6479E"/>
    <w:rsid w:val="00E6508D"/>
    <w:rsid w:val="00E666F7"/>
    <w:rsid w:val="00E66E1C"/>
    <w:rsid w:val="00E67684"/>
    <w:rsid w:val="00E72358"/>
    <w:rsid w:val="00E736C6"/>
    <w:rsid w:val="00E77B49"/>
    <w:rsid w:val="00E808FD"/>
    <w:rsid w:val="00E871BE"/>
    <w:rsid w:val="00E87A8E"/>
    <w:rsid w:val="00E90121"/>
    <w:rsid w:val="00E91C49"/>
    <w:rsid w:val="00E95700"/>
    <w:rsid w:val="00EA4344"/>
    <w:rsid w:val="00EB1ACB"/>
    <w:rsid w:val="00EB204E"/>
    <w:rsid w:val="00EB302F"/>
    <w:rsid w:val="00EB5333"/>
    <w:rsid w:val="00EC27A8"/>
    <w:rsid w:val="00ED0A6A"/>
    <w:rsid w:val="00ED14C8"/>
    <w:rsid w:val="00ED39F4"/>
    <w:rsid w:val="00ED53D8"/>
    <w:rsid w:val="00EE0784"/>
    <w:rsid w:val="00EE1401"/>
    <w:rsid w:val="00EE257B"/>
    <w:rsid w:val="00EF095D"/>
    <w:rsid w:val="00EF2248"/>
    <w:rsid w:val="00EF5085"/>
    <w:rsid w:val="00EF64B0"/>
    <w:rsid w:val="00F0221C"/>
    <w:rsid w:val="00F02471"/>
    <w:rsid w:val="00F0535D"/>
    <w:rsid w:val="00F10881"/>
    <w:rsid w:val="00F1312E"/>
    <w:rsid w:val="00F1334A"/>
    <w:rsid w:val="00F16CBE"/>
    <w:rsid w:val="00F17810"/>
    <w:rsid w:val="00F21066"/>
    <w:rsid w:val="00F21631"/>
    <w:rsid w:val="00F220EE"/>
    <w:rsid w:val="00F22F2B"/>
    <w:rsid w:val="00F24CED"/>
    <w:rsid w:val="00F274CC"/>
    <w:rsid w:val="00F279D6"/>
    <w:rsid w:val="00F336F5"/>
    <w:rsid w:val="00F34171"/>
    <w:rsid w:val="00F40824"/>
    <w:rsid w:val="00F40E80"/>
    <w:rsid w:val="00F42227"/>
    <w:rsid w:val="00F42C39"/>
    <w:rsid w:val="00F468DA"/>
    <w:rsid w:val="00F523BC"/>
    <w:rsid w:val="00F575D5"/>
    <w:rsid w:val="00F60C5A"/>
    <w:rsid w:val="00F60F0E"/>
    <w:rsid w:val="00F65C43"/>
    <w:rsid w:val="00F65E82"/>
    <w:rsid w:val="00F67CA7"/>
    <w:rsid w:val="00F72BD7"/>
    <w:rsid w:val="00F73292"/>
    <w:rsid w:val="00F75663"/>
    <w:rsid w:val="00F8244A"/>
    <w:rsid w:val="00F8350C"/>
    <w:rsid w:val="00F843D1"/>
    <w:rsid w:val="00F863FC"/>
    <w:rsid w:val="00F873BB"/>
    <w:rsid w:val="00F9230E"/>
    <w:rsid w:val="00F930BC"/>
    <w:rsid w:val="00F95A61"/>
    <w:rsid w:val="00F962FD"/>
    <w:rsid w:val="00FA11DF"/>
    <w:rsid w:val="00FA1E44"/>
    <w:rsid w:val="00FA635F"/>
    <w:rsid w:val="00FB0690"/>
    <w:rsid w:val="00FB20E1"/>
    <w:rsid w:val="00FB4AE0"/>
    <w:rsid w:val="00FB534F"/>
    <w:rsid w:val="00FB59D0"/>
    <w:rsid w:val="00FC16D1"/>
    <w:rsid w:val="00FC25E3"/>
    <w:rsid w:val="00FC4493"/>
    <w:rsid w:val="00FD1E2B"/>
    <w:rsid w:val="00FD2304"/>
    <w:rsid w:val="00FD64D1"/>
    <w:rsid w:val="00FE1B2D"/>
    <w:rsid w:val="00FE4940"/>
    <w:rsid w:val="00FE4CD8"/>
    <w:rsid w:val="00FE68D4"/>
    <w:rsid w:val="00FE7D5E"/>
    <w:rsid w:val="00FF3ADB"/>
    <w:rsid w:val="00FF48BF"/>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4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AB"/>
    <w:rPr>
      <w:sz w:val="24"/>
      <w:szCs w:val="24"/>
      <w:lang w:val="sr-Latn-CS"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style>
  <w:style w:type="paragraph" w:styleId="Heading8">
    <w:name w:val="heading 8"/>
    <w:basedOn w:val="Normal"/>
    <w:next w:val="Normal"/>
    <w:qFormat/>
    <w:rsid w:val="00190066"/>
    <w:pPr>
      <w:numPr>
        <w:ilvl w:val="7"/>
        <w:numId w:val="1"/>
      </w:numPr>
      <w:spacing w:before="240"/>
      <w:outlineLvl w:val="7"/>
    </w:pPr>
    <w:rPr>
      <w:iCs/>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link w:val="BodyTextIndent3Char"/>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ListParagraph">
    <w:name w:val="List Paragraph"/>
    <w:basedOn w:val="Normal"/>
    <w:qFormat/>
    <w:rsid w:val="009861AB"/>
    <w:pPr>
      <w:spacing w:after="200" w:line="276" w:lineRule="auto"/>
      <w:ind w:left="720"/>
      <w:contextualSpacing/>
    </w:pPr>
    <w:rPr>
      <w:rFonts w:ascii="Calibri" w:eastAsia="Calibri" w:hAnsi="Calibri"/>
      <w:sz w:val="22"/>
      <w:szCs w:val="22"/>
    </w:rPr>
  </w:style>
  <w:style w:type="character" w:customStyle="1" w:styleId="alphaCharCharCharChar1">
    <w:name w:val="alpha Char Char Char Char1"/>
    <w:basedOn w:val="DefaultParagraphFont"/>
    <w:rsid w:val="009861AB"/>
    <w:rPr>
      <w:rFonts w:ascii="Arial" w:hAnsi="Arial" w:cs="Arial" w:hint="default"/>
      <w:lang w:val="en-US" w:eastAsia="en-US" w:bidi="ar-SA"/>
    </w:rPr>
  </w:style>
  <w:style w:type="character" w:customStyle="1" w:styleId="BodyTextIndent3Char">
    <w:name w:val="Body Text Indent 3 Char"/>
    <w:basedOn w:val="DefaultParagraphFont"/>
    <w:link w:val="BodyTextIndent3"/>
    <w:rsid w:val="009861AB"/>
    <w:rPr>
      <w:rFonts w:ascii="Verdana" w:hAnsi="Verdana"/>
      <w:sz w:val="16"/>
      <w:szCs w:val="16"/>
      <w:lang w:eastAsia="en-US"/>
    </w:rPr>
  </w:style>
  <w:style w:type="paragraph" w:customStyle="1" w:styleId="roman2">
    <w:name w:val="roman 2"/>
    <w:basedOn w:val="Normal"/>
    <w:next w:val="Normal"/>
    <w:rsid w:val="009861AB"/>
    <w:pPr>
      <w:autoSpaceDE w:val="0"/>
      <w:autoSpaceDN w:val="0"/>
      <w:adjustRightInd w:val="0"/>
    </w:pPr>
    <w:rPr>
      <w:lang w:val="en-US"/>
    </w:rPr>
  </w:style>
  <w:style w:type="character" w:styleId="CommentReference">
    <w:name w:val="annotation reference"/>
    <w:basedOn w:val="DefaultParagraphFont"/>
    <w:semiHidden/>
    <w:unhideWhenUsed/>
    <w:rsid w:val="00C20FEC"/>
    <w:rPr>
      <w:sz w:val="16"/>
      <w:szCs w:val="16"/>
    </w:rPr>
  </w:style>
  <w:style w:type="paragraph" w:styleId="CommentText">
    <w:name w:val="annotation text"/>
    <w:basedOn w:val="Normal"/>
    <w:link w:val="CommentTextChar"/>
    <w:semiHidden/>
    <w:unhideWhenUsed/>
    <w:rsid w:val="00C20FEC"/>
    <w:rPr>
      <w:sz w:val="20"/>
      <w:szCs w:val="20"/>
    </w:rPr>
  </w:style>
  <w:style w:type="character" w:customStyle="1" w:styleId="CommentTextChar">
    <w:name w:val="Comment Text Char"/>
    <w:basedOn w:val="DefaultParagraphFont"/>
    <w:link w:val="CommentText"/>
    <w:semiHidden/>
    <w:rsid w:val="00C20FEC"/>
    <w:rPr>
      <w:lang w:val="sr-Latn-CS" w:eastAsia="en-US"/>
    </w:rPr>
  </w:style>
  <w:style w:type="paragraph" w:styleId="CommentSubject">
    <w:name w:val="annotation subject"/>
    <w:basedOn w:val="CommentText"/>
    <w:next w:val="CommentText"/>
    <w:link w:val="CommentSubjectChar"/>
    <w:semiHidden/>
    <w:unhideWhenUsed/>
    <w:rsid w:val="00C20FEC"/>
    <w:rPr>
      <w:b/>
      <w:bCs/>
    </w:rPr>
  </w:style>
  <w:style w:type="character" w:customStyle="1" w:styleId="CommentSubjectChar">
    <w:name w:val="Comment Subject Char"/>
    <w:basedOn w:val="CommentTextChar"/>
    <w:link w:val="CommentSubject"/>
    <w:semiHidden/>
    <w:rsid w:val="00C20FEC"/>
    <w:rPr>
      <w:b/>
      <w:bCs/>
      <w:lang w:val="sr-Latn-CS" w:eastAsia="en-US"/>
    </w:rPr>
  </w:style>
  <w:style w:type="paragraph" w:styleId="BalloonText">
    <w:name w:val="Balloon Text"/>
    <w:basedOn w:val="Normal"/>
    <w:link w:val="BalloonTextChar"/>
    <w:semiHidden/>
    <w:unhideWhenUsed/>
    <w:rsid w:val="00C20FEC"/>
    <w:rPr>
      <w:rFonts w:ascii="Segoe UI" w:hAnsi="Segoe UI" w:cs="Segoe UI"/>
      <w:sz w:val="18"/>
      <w:szCs w:val="18"/>
    </w:rPr>
  </w:style>
  <w:style w:type="character" w:customStyle="1" w:styleId="BalloonTextChar">
    <w:name w:val="Balloon Text Char"/>
    <w:basedOn w:val="DefaultParagraphFont"/>
    <w:link w:val="BalloonText"/>
    <w:semiHidden/>
    <w:rsid w:val="00C20FEC"/>
    <w:rPr>
      <w:rFonts w:ascii="Segoe UI" w:hAnsi="Segoe UI" w:cs="Segoe UI"/>
      <w:sz w:val="18"/>
      <w:szCs w:val="18"/>
      <w:lang w:val="sr-Latn-CS" w:eastAsia="en-US"/>
    </w:rPr>
  </w:style>
  <w:style w:type="table" w:customStyle="1" w:styleId="TableGrid10">
    <w:name w:val="Table Grid1"/>
    <w:basedOn w:val="TableNormal"/>
    <w:next w:val="TableGrid"/>
    <w:uiPriority w:val="39"/>
    <w:rsid w:val="00D73E1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AB"/>
    <w:rPr>
      <w:sz w:val="24"/>
      <w:szCs w:val="24"/>
      <w:lang w:val="sr-Latn-CS"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style>
  <w:style w:type="paragraph" w:styleId="Heading8">
    <w:name w:val="heading 8"/>
    <w:basedOn w:val="Normal"/>
    <w:next w:val="Normal"/>
    <w:qFormat/>
    <w:rsid w:val="00190066"/>
    <w:pPr>
      <w:numPr>
        <w:ilvl w:val="7"/>
        <w:numId w:val="1"/>
      </w:numPr>
      <w:spacing w:before="240"/>
      <w:outlineLvl w:val="7"/>
    </w:pPr>
    <w:rPr>
      <w:iCs/>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5425F0"/>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link w:val="BodyTextIndent3Char"/>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ListParagraph">
    <w:name w:val="List Paragraph"/>
    <w:basedOn w:val="Normal"/>
    <w:qFormat/>
    <w:rsid w:val="009861AB"/>
    <w:pPr>
      <w:spacing w:after="200" w:line="276" w:lineRule="auto"/>
      <w:ind w:left="720"/>
      <w:contextualSpacing/>
    </w:pPr>
    <w:rPr>
      <w:rFonts w:ascii="Calibri" w:eastAsia="Calibri" w:hAnsi="Calibri"/>
      <w:sz w:val="22"/>
      <w:szCs w:val="22"/>
    </w:rPr>
  </w:style>
  <w:style w:type="character" w:customStyle="1" w:styleId="alphaCharCharCharChar1">
    <w:name w:val="alpha Char Char Char Char1"/>
    <w:basedOn w:val="DefaultParagraphFont"/>
    <w:rsid w:val="009861AB"/>
    <w:rPr>
      <w:rFonts w:ascii="Arial" w:hAnsi="Arial" w:cs="Arial" w:hint="default"/>
      <w:lang w:val="en-US" w:eastAsia="en-US" w:bidi="ar-SA"/>
    </w:rPr>
  </w:style>
  <w:style w:type="character" w:customStyle="1" w:styleId="BodyTextIndent3Char">
    <w:name w:val="Body Text Indent 3 Char"/>
    <w:basedOn w:val="DefaultParagraphFont"/>
    <w:link w:val="BodyTextIndent3"/>
    <w:rsid w:val="009861AB"/>
    <w:rPr>
      <w:rFonts w:ascii="Verdana" w:hAnsi="Verdana"/>
      <w:sz w:val="16"/>
      <w:szCs w:val="16"/>
      <w:lang w:eastAsia="en-US"/>
    </w:rPr>
  </w:style>
  <w:style w:type="paragraph" w:customStyle="1" w:styleId="roman2">
    <w:name w:val="roman 2"/>
    <w:basedOn w:val="Normal"/>
    <w:next w:val="Normal"/>
    <w:rsid w:val="009861AB"/>
    <w:pPr>
      <w:autoSpaceDE w:val="0"/>
      <w:autoSpaceDN w:val="0"/>
      <w:adjustRightInd w:val="0"/>
    </w:pPr>
    <w:rPr>
      <w:lang w:val="en-US"/>
    </w:rPr>
  </w:style>
  <w:style w:type="character" w:styleId="CommentReference">
    <w:name w:val="annotation reference"/>
    <w:basedOn w:val="DefaultParagraphFont"/>
    <w:semiHidden/>
    <w:unhideWhenUsed/>
    <w:rsid w:val="00C20FEC"/>
    <w:rPr>
      <w:sz w:val="16"/>
      <w:szCs w:val="16"/>
    </w:rPr>
  </w:style>
  <w:style w:type="paragraph" w:styleId="CommentText">
    <w:name w:val="annotation text"/>
    <w:basedOn w:val="Normal"/>
    <w:link w:val="CommentTextChar"/>
    <w:semiHidden/>
    <w:unhideWhenUsed/>
    <w:rsid w:val="00C20FEC"/>
    <w:rPr>
      <w:sz w:val="20"/>
      <w:szCs w:val="20"/>
    </w:rPr>
  </w:style>
  <w:style w:type="character" w:customStyle="1" w:styleId="CommentTextChar">
    <w:name w:val="Comment Text Char"/>
    <w:basedOn w:val="DefaultParagraphFont"/>
    <w:link w:val="CommentText"/>
    <w:semiHidden/>
    <w:rsid w:val="00C20FEC"/>
    <w:rPr>
      <w:lang w:val="sr-Latn-CS" w:eastAsia="en-US"/>
    </w:rPr>
  </w:style>
  <w:style w:type="paragraph" w:styleId="CommentSubject">
    <w:name w:val="annotation subject"/>
    <w:basedOn w:val="CommentText"/>
    <w:next w:val="CommentText"/>
    <w:link w:val="CommentSubjectChar"/>
    <w:semiHidden/>
    <w:unhideWhenUsed/>
    <w:rsid w:val="00C20FEC"/>
    <w:rPr>
      <w:b/>
      <w:bCs/>
    </w:rPr>
  </w:style>
  <w:style w:type="character" w:customStyle="1" w:styleId="CommentSubjectChar">
    <w:name w:val="Comment Subject Char"/>
    <w:basedOn w:val="CommentTextChar"/>
    <w:link w:val="CommentSubject"/>
    <w:semiHidden/>
    <w:rsid w:val="00C20FEC"/>
    <w:rPr>
      <w:b/>
      <w:bCs/>
      <w:lang w:val="sr-Latn-CS" w:eastAsia="en-US"/>
    </w:rPr>
  </w:style>
  <w:style w:type="paragraph" w:styleId="BalloonText">
    <w:name w:val="Balloon Text"/>
    <w:basedOn w:val="Normal"/>
    <w:link w:val="BalloonTextChar"/>
    <w:semiHidden/>
    <w:unhideWhenUsed/>
    <w:rsid w:val="00C20FEC"/>
    <w:rPr>
      <w:rFonts w:ascii="Segoe UI" w:hAnsi="Segoe UI" w:cs="Segoe UI"/>
      <w:sz w:val="18"/>
      <w:szCs w:val="18"/>
    </w:rPr>
  </w:style>
  <w:style w:type="character" w:customStyle="1" w:styleId="BalloonTextChar">
    <w:name w:val="Balloon Text Char"/>
    <w:basedOn w:val="DefaultParagraphFont"/>
    <w:link w:val="BalloonText"/>
    <w:semiHidden/>
    <w:rsid w:val="00C20FEC"/>
    <w:rPr>
      <w:rFonts w:ascii="Segoe UI" w:hAnsi="Segoe UI" w:cs="Segoe UI"/>
      <w:sz w:val="18"/>
      <w:szCs w:val="18"/>
      <w:lang w:val="sr-Latn-CS" w:eastAsia="en-US"/>
    </w:rPr>
  </w:style>
  <w:style w:type="table" w:customStyle="1" w:styleId="TableGrid10">
    <w:name w:val="Table Grid1"/>
    <w:basedOn w:val="TableNormal"/>
    <w:next w:val="TableGrid"/>
    <w:uiPriority w:val="39"/>
    <w:rsid w:val="00D73E1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68724">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kuplje.org.r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3P&amp;PFI SOLUTIONS</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Ilic</dc:creator>
  <cp:lastModifiedBy>Zorica Milivojević</cp:lastModifiedBy>
  <cp:revision>2</cp:revision>
  <cp:lastPrinted>2021-11-24T10:21:00Z</cp:lastPrinted>
  <dcterms:created xsi:type="dcterms:W3CDTF">2021-11-30T08:27:00Z</dcterms:created>
  <dcterms:modified xsi:type="dcterms:W3CDTF">2021-11-30T08:27:00Z</dcterms:modified>
</cp:coreProperties>
</file>