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7443B5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7443B5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8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F63304" w:rsidRDefault="00F63304" w:rsidP="00F63304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69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 и </w:t>
      </w:r>
      <w:proofErr w:type="spellStart"/>
      <w:r>
        <w:t>члана</w:t>
      </w:r>
      <w:proofErr w:type="spellEnd"/>
      <w:r>
        <w:t xml:space="preserve"> 70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енергетској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и </w:t>
      </w:r>
      <w:proofErr w:type="spellStart"/>
      <w:r>
        <w:t>рационалној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40/2021), </w:t>
      </w:r>
      <w:proofErr w:type="spellStart"/>
      <w:r>
        <w:t>члана</w:t>
      </w:r>
      <w:proofErr w:type="spellEnd"/>
      <w:r>
        <w:t xml:space="preserve"> 63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27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15/2018) и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у 2022.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10/22),  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08.02.</w:t>
      </w:r>
      <w:r>
        <w:t xml:space="preserve">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F63304" w:rsidRDefault="00F63304" w:rsidP="00F63304">
      <w:pPr>
        <w:jc w:val="both"/>
      </w:pPr>
    </w:p>
    <w:p w:rsidR="00F63304" w:rsidRPr="004870C4" w:rsidRDefault="00F63304" w:rsidP="00F63304">
      <w:pPr>
        <w:jc w:val="center"/>
        <w:rPr>
          <w:b/>
        </w:rPr>
      </w:pPr>
      <w:r w:rsidRPr="004870C4">
        <w:rPr>
          <w:b/>
        </w:rPr>
        <w:t>ОДЛУКУ</w:t>
      </w:r>
    </w:p>
    <w:p w:rsidR="00F63304" w:rsidRPr="00482BC3" w:rsidRDefault="00F63304" w:rsidP="00F63304">
      <w:pPr>
        <w:jc w:val="center"/>
        <w:rPr>
          <w:b/>
        </w:rPr>
      </w:pPr>
      <w:r w:rsidRPr="004870C4">
        <w:rPr>
          <w:b/>
        </w:rPr>
        <w:t>О ФИНАНСИЈСКОЈ ПОДРШЦИ ДОМАЋИНСТВИМА</w:t>
      </w:r>
      <w:r>
        <w:rPr>
          <w:b/>
        </w:rPr>
        <w:t xml:space="preserve"> И СТАМБЕНИМ ЗАЈЕДНИЦАМА </w:t>
      </w:r>
      <w:r w:rsidRPr="004870C4">
        <w:rPr>
          <w:b/>
        </w:rPr>
        <w:t>У ПРОЦЕСУ ЕНЕРГЕТСКЕ ТРАНЗИЦИЈЕ</w:t>
      </w:r>
    </w:p>
    <w:p w:rsidR="00F63304" w:rsidRDefault="00F63304" w:rsidP="00F63304">
      <w:pPr>
        <w:jc w:val="center"/>
        <w:rPr>
          <w:b/>
        </w:rPr>
      </w:pPr>
    </w:p>
    <w:p w:rsidR="00F63304" w:rsidRDefault="00F63304" w:rsidP="00F63304">
      <w:pPr>
        <w:jc w:val="center"/>
      </w:pPr>
      <w:proofErr w:type="spellStart"/>
      <w:r w:rsidRPr="004870C4">
        <w:t>Члан</w:t>
      </w:r>
      <w:proofErr w:type="spellEnd"/>
      <w:r w:rsidRPr="004870C4">
        <w:t xml:space="preserve"> 1</w:t>
      </w: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  <w:r>
        <w:tab/>
      </w:r>
      <w:proofErr w:type="spellStart"/>
      <w:proofErr w:type="gramStart"/>
      <w:r>
        <w:t>Одлуком</w:t>
      </w:r>
      <w:proofErr w:type="spellEnd"/>
      <w:r>
        <w:t xml:space="preserve"> о </w:t>
      </w:r>
      <w:proofErr w:type="spellStart"/>
      <w:r>
        <w:t>финансијској</w:t>
      </w:r>
      <w:proofErr w:type="spellEnd"/>
      <w:r>
        <w:t xml:space="preserve"> </w:t>
      </w:r>
      <w:proofErr w:type="spellStart"/>
      <w:r>
        <w:t>подршци</w:t>
      </w:r>
      <w:proofErr w:type="spellEnd"/>
      <w:r>
        <w:t xml:space="preserve"> </w:t>
      </w:r>
      <w:proofErr w:type="spellStart"/>
      <w:r>
        <w:t>домаћинствима</w:t>
      </w:r>
      <w:proofErr w:type="spellEnd"/>
      <w:r>
        <w:t xml:space="preserve"> и </w:t>
      </w:r>
      <w:proofErr w:type="spellStart"/>
      <w:r>
        <w:t>стамбеним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домаћинствима</w:t>
      </w:r>
      <w:proofErr w:type="spellEnd"/>
      <w:r>
        <w:t xml:space="preserve"> и </w:t>
      </w:r>
      <w:proofErr w:type="spellStart"/>
      <w:r>
        <w:t>стамбеним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у 2022.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</w:p>
    <w:p w:rsidR="00F63304" w:rsidRDefault="00F63304" w:rsidP="00F63304">
      <w:pPr>
        <w:jc w:val="both"/>
      </w:pPr>
    </w:p>
    <w:p w:rsidR="00F63304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2</w:t>
      </w:r>
    </w:p>
    <w:p w:rsidR="00F63304" w:rsidRDefault="00F63304" w:rsidP="00F63304">
      <w:pPr>
        <w:jc w:val="center"/>
      </w:pPr>
    </w:p>
    <w:p w:rsidR="00F63304" w:rsidRPr="00005FE2" w:rsidRDefault="00F63304" w:rsidP="00F63304">
      <w:pPr>
        <w:jc w:val="both"/>
      </w:pPr>
      <w:r>
        <w:tab/>
      </w:r>
      <w:proofErr w:type="spellStart"/>
      <w:proofErr w:type="gramStart"/>
      <w:r>
        <w:t>Енергетска</w:t>
      </w:r>
      <w:proofErr w:type="spellEnd"/>
      <w:r>
        <w:t xml:space="preserve"> </w:t>
      </w:r>
      <w:proofErr w:type="spellStart"/>
      <w:r>
        <w:t>транзиција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доминантно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конвенционални</w:t>
      </w:r>
      <w:proofErr w:type="spellEnd"/>
      <w:r>
        <w:t xml:space="preserve"> (</w:t>
      </w:r>
      <w:proofErr w:type="spellStart"/>
      <w:r>
        <w:t>необновљиви</w:t>
      </w:r>
      <w:proofErr w:type="spellEnd"/>
      <w:r>
        <w:t xml:space="preserve">)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и </w:t>
      </w:r>
      <w:proofErr w:type="spellStart"/>
      <w:r>
        <w:t>увођење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уштеду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>.</w:t>
      </w:r>
      <w:proofErr w:type="gramEnd"/>
    </w:p>
    <w:p w:rsidR="00F63304" w:rsidRDefault="00F63304" w:rsidP="00F63304">
      <w:pPr>
        <w:jc w:val="both"/>
      </w:pPr>
      <w:r>
        <w:tab/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,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.</w:t>
      </w:r>
    </w:p>
    <w:p w:rsidR="00F63304" w:rsidRDefault="00F63304" w:rsidP="00F63304">
      <w:pPr>
        <w:jc w:val="both"/>
      </w:pPr>
    </w:p>
    <w:p w:rsidR="00F63304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3</w:t>
      </w: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  <w:r>
        <w:tab/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F63304" w:rsidRDefault="00F63304" w:rsidP="00F63304">
      <w:pPr>
        <w:jc w:val="both"/>
      </w:pPr>
    </w:p>
    <w:p w:rsidR="00F63304" w:rsidRDefault="00F63304" w:rsidP="00F63304">
      <w:pPr>
        <w:pStyle w:val="ListParagraph"/>
        <w:numPr>
          <w:ilvl w:val="0"/>
          <w:numId w:val="34"/>
        </w:numPr>
        <w:jc w:val="both"/>
      </w:pPr>
      <w:proofErr w:type="spellStart"/>
      <w:r>
        <w:t>унапређење</w:t>
      </w:r>
      <w:proofErr w:type="spellEnd"/>
      <w:r>
        <w:t xml:space="preserve"> </w:t>
      </w:r>
      <w:proofErr w:type="spellStart"/>
      <w:r>
        <w:t>термичког</w:t>
      </w:r>
      <w:proofErr w:type="spellEnd"/>
      <w:r>
        <w:t xml:space="preserve"> </w:t>
      </w:r>
      <w:proofErr w:type="spellStart"/>
      <w:r>
        <w:t>омотача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:</w:t>
      </w:r>
    </w:p>
    <w:p w:rsidR="00F63304" w:rsidRDefault="00F63304" w:rsidP="00F63304">
      <w:pPr>
        <w:pStyle w:val="ListParagraph"/>
        <w:numPr>
          <w:ilvl w:val="0"/>
          <w:numId w:val="35"/>
        </w:numPr>
        <w:jc w:val="both"/>
      </w:pPr>
      <w:proofErr w:type="spellStart"/>
      <w:r>
        <w:lastRenderedPageBreak/>
        <w:t>замене</w:t>
      </w:r>
      <w:proofErr w:type="spellEnd"/>
      <w:r>
        <w:t xml:space="preserve"> </w:t>
      </w:r>
      <w:proofErr w:type="spellStart"/>
      <w:r>
        <w:t>спољних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 и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транспарентних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термичког</w:t>
      </w:r>
      <w:proofErr w:type="spellEnd"/>
      <w:r>
        <w:t xml:space="preserve"> </w:t>
      </w:r>
      <w:proofErr w:type="spellStart"/>
      <w:r>
        <w:t>омотача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5"/>
        </w:numPr>
        <w:jc w:val="both"/>
      </w:pPr>
      <w:proofErr w:type="spellStart"/>
      <w:r>
        <w:t>постављања</w:t>
      </w:r>
      <w:proofErr w:type="spellEnd"/>
      <w:r>
        <w:t xml:space="preserve"> </w:t>
      </w:r>
      <w:proofErr w:type="spellStart"/>
      <w:r>
        <w:t>термичке</w:t>
      </w:r>
      <w:proofErr w:type="spellEnd"/>
      <w:r>
        <w:t xml:space="preserve"> </w:t>
      </w:r>
      <w:proofErr w:type="spellStart"/>
      <w:r>
        <w:t>изолације</w:t>
      </w:r>
      <w:proofErr w:type="spellEnd"/>
      <w:r>
        <w:t xml:space="preserve"> </w:t>
      </w:r>
      <w:proofErr w:type="spellStart"/>
      <w:r>
        <w:t>зидова</w:t>
      </w:r>
      <w:proofErr w:type="spellEnd"/>
      <w:r>
        <w:t xml:space="preserve">, </w:t>
      </w:r>
      <w:proofErr w:type="spellStart"/>
      <w:r>
        <w:t>таваница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отворених</w:t>
      </w:r>
      <w:proofErr w:type="spellEnd"/>
      <w:r>
        <w:t xml:space="preserve"> </w:t>
      </w:r>
      <w:proofErr w:type="spellStart"/>
      <w:r>
        <w:t>пролаза</w:t>
      </w:r>
      <w:proofErr w:type="spellEnd"/>
      <w:r>
        <w:t xml:space="preserve">, </w:t>
      </w:r>
      <w:proofErr w:type="spellStart"/>
      <w:r>
        <w:t>зидова</w:t>
      </w:r>
      <w:proofErr w:type="spellEnd"/>
      <w:r>
        <w:t xml:space="preserve">, </w:t>
      </w:r>
      <w:proofErr w:type="spellStart"/>
      <w:r>
        <w:t>подова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тлу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термичког</w:t>
      </w:r>
      <w:proofErr w:type="spellEnd"/>
      <w:r>
        <w:t xml:space="preserve"> </w:t>
      </w:r>
      <w:proofErr w:type="spellStart"/>
      <w:r>
        <w:t>омотача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негрејаном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5"/>
        </w:numPr>
        <w:jc w:val="both"/>
      </w:pPr>
      <w:proofErr w:type="spellStart"/>
      <w:r>
        <w:t>постављања</w:t>
      </w:r>
      <w:proofErr w:type="spellEnd"/>
      <w:r>
        <w:t xml:space="preserve"> </w:t>
      </w:r>
      <w:proofErr w:type="spellStart"/>
      <w:r>
        <w:t>термичке</w:t>
      </w:r>
      <w:proofErr w:type="spellEnd"/>
      <w:r>
        <w:t xml:space="preserve"> </w:t>
      </w:r>
      <w:proofErr w:type="spellStart"/>
      <w:r>
        <w:t>изолације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кровног</w:t>
      </w:r>
      <w:proofErr w:type="spellEnd"/>
      <w:r>
        <w:t xml:space="preserve"> </w:t>
      </w:r>
      <w:proofErr w:type="spellStart"/>
      <w:r>
        <w:t>покривача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4"/>
        </w:numPr>
        <w:jc w:val="both"/>
      </w:pPr>
      <w:proofErr w:type="spellStart"/>
      <w:r>
        <w:t>унапређење</w:t>
      </w:r>
      <w:proofErr w:type="spellEnd"/>
      <w:r>
        <w:t xml:space="preserve"> </w:t>
      </w:r>
      <w:proofErr w:type="spellStart"/>
      <w:r>
        <w:t>термотехничких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замене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ефикаснијим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:</w:t>
      </w:r>
    </w:p>
    <w:p w:rsidR="00F63304" w:rsidRDefault="00F63304" w:rsidP="00F63304">
      <w:pPr>
        <w:pStyle w:val="ListParagraph"/>
        <w:numPr>
          <w:ilvl w:val="0"/>
          <w:numId w:val="36"/>
        </w:numPr>
        <w:jc w:val="both"/>
      </w:pPr>
      <w:proofErr w:type="spellStart"/>
      <w:r>
        <w:t>замене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грејача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(</w:t>
      </w:r>
      <w:proofErr w:type="spellStart"/>
      <w:r>
        <w:t>котао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пећ</w:t>
      </w:r>
      <w:proofErr w:type="spellEnd"/>
      <w:r>
        <w:t xml:space="preserve">) </w:t>
      </w:r>
      <w:proofErr w:type="spellStart"/>
      <w:r>
        <w:t>ефикаснијим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6"/>
        </w:numPr>
        <w:jc w:val="both"/>
      </w:pPr>
      <w:proofErr w:type="spellStart"/>
      <w:r>
        <w:t>замене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уградња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цевне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, </w:t>
      </w:r>
      <w:proofErr w:type="spellStart"/>
      <w:r>
        <w:t>грејних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– </w:t>
      </w:r>
      <w:proofErr w:type="spellStart"/>
      <w:r>
        <w:t>радијатора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прибора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6"/>
        </w:numPr>
        <w:jc w:val="both"/>
      </w:pPr>
      <w:proofErr w:type="spellStart"/>
      <w:r>
        <w:t>уградње</w:t>
      </w:r>
      <w:proofErr w:type="spellEnd"/>
      <w:r>
        <w:t xml:space="preserve"> </w:t>
      </w:r>
      <w:proofErr w:type="spellStart"/>
      <w:r>
        <w:t>топлотних</w:t>
      </w:r>
      <w:proofErr w:type="spellEnd"/>
      <w:r>
        <w:t xml:space="preserve"> </w:t>
      </w:r>
      <w:proofErr w:type="spellStart"/>
      <w:r>
        <w:t>пумпи</w:t>
      </w:r>
      <w:proofErr w:type="spellEnd"/>
      <w:r>
        <w:t xml:space="preserve"> (</w:t>
      </w:r>
      <w:proofErr w:type="spellStart"/>
      <w:r>
        <w:t>грејач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комбиновани</w:t>
      </w:r>
      <w:proofErr w:type="spellEnd"/>
      <w:r>
        <w:t xml:space="preserve"> </w:t>
      </w:r>
      <w:proofErr w:type="spellStart"/>
      <w:r>
        <w:t>грејач</w:t>
      </w:r>
      <w:proofErr w:type="spellEnd"/>
      <w:r>
        <w:t>);</w:t>
      </w:r>
    </w:p>
    <w:p w:rsidR="00F63304" w:rsidRDefault="00F63304" w:rsidP="00F63304">
      <w:pPr>
        <w:pStyle w:val="ListParagraph"/>
        <w:numPr>
          <w:ilvl w:val="0"/>
          <w:numId w:val="36"/>
        </w:numPr>
        <w:jc w:val="both"/>
      </w:pPr>
      <w:proofErr w:type="spellStart"/>
      <w:r>
        <w:t>уградње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регулисаних</w:t>
      </w:r>
      <w:proofErr w:type="spellEnd"/>
      <w:r>
        <w:t xml:space="preserve"> </w:t>
      </w:r>
      <w:proofErr w:type="spellStart"/>
      <w:r>
        <w:t>циркулационих</w:t>
      </w:r>
      <w:proofErr w:type="spellEnd"/>
      <w:r>
        <w:t xml:space="preserve"> </w:t>
      </w:r>
      <w:proofErr w:type="spellStart"/>
      <w:r>
        <w:t>пумпи</w:t>
      </w:r>
      <w:proofErr w:type="spellEnd"/>
      <w:r>
        <w:t>;</w:t>
      </w:r>
    </w:p>
    <w:p w:rsidR="00F63304" w:rsidRDefault="00F63304" w:rsidP="00F63304">
      <w:pPr>
        <w:pStyle w:val="ListParagraph"/>
        <w:numPr>
          <w:ilvl w:val="0"/>
          <w:numId w:val="36"/>
        </w:numPr>
        <w:jc w:val="both"/>
      </w:pPr>
      <w:proofErr w:type="spellStart"/>
      <w:r>
        <w:t>опремањем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уређајима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регулацију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предате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(</w:t>
      </w:r>
      <w:proofErr w:type="spellStart"/>
      <w:r>
        <w:t>калориметри</w:t>
      </w:r>
      <w:proofErr w:type="spellEnd"/>
      <w:r>
        <w:t xml:space="preserve">, </w:t>
      </w:r>
      <w:proofErr w:type="spellStart"/>
      <w:r>
        <w:t>делитељи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, </w:t>
      </w:r>
      <w:proofErr w:type="spellStart"/>
      <w:r>
        <w:t>баланс</w:t>
      </w:r>
      <w:proofErr w:type="spellEnd"/>
      <w:r>
        <w:t xml:space="preserve"> </w:t>
      </w:r>
      <w:proofErr w:type="spellStart"/>
      <w:r>
        <w:t>вентили</w:t>
      </w:r>
      <w:proofErr w:type="spellEnd"/>
      <w:r>
        <w:t>);</w:t>
      </w:r>
    </w:p>
    <w:p w:rsidR="00F63304" w:rsidRDefault="00F63304" w:rsidP="00F63304">
      <w:pPr>
        <w:pStyle w:val="ListParagraph"/>
        <w:numPr>
          <w:ilvl w:val="0"/>
          <w:numId w:val="34"/>
        </w:numPr>
        <w:jc w:val="both"/>
      </w:pPr>
      <w:proofErr w:type="spellStart"/>
      <w:r>
        <w:t>уградње</w:t>
      </w:r>
      <w:proofErr w:type="spellEnd"/>
      <w:r>
        <w:t xml:space="preserve"> </w:t>
      </w:r>
      <w:proofErr w:type="spellStart"/>
      <w:r>
        <w:t>соларних</w:t>
      </w:r>
      <w:proofErr w:type="spellEnd"/>
      <w:r>
        <w:t xml:space="preserve"> </w:t>
      </w:r>
      <w:proofErr w:type="spellStart"/>
      <w:r>
        <w:t>колектора</w:t>
      </w:r>
      <w:proofErr w:type="spellEnd"/>
      <w:r>
        <w:t xml:space="preserve"> у </w:t>
      </w:r>
      <w:proofErr w:type="spellStart"/>
      <w:r>
        <w:t>инсталацију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централну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потрошне</w:t>
      </w:r>
      <w:proofErr w:type="spellEnd"/>
      <w:r>
        <w:t xml:space="preserve"> </w:t>
      </w:r>
      <w:proofErr w:type="spellStart"/>
      <w:r>
        <w:t>топле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>;</w:t>
      </w:r>
    </w:p>
    <w:p w:rsidR="00F63304" w:rsidRPr="00DE65CF" w:rsidRDefault="00F63304" w:rsidP="00F63304">
      <w:pPr>
        <w:pStyle w:val="ListParagraph"/>
        <w:numPr>
          <w:ilvl w:val="0"/>
          <w:numId w:val="34"/>
        </w:numPr>
        <w:jc w:val="both"/>
      </w:pPr>
      <w:proofErr w:type="spellStart"/>
      <w:proofErr w:type="gramStart"/>
      <w:r>
        <w:t>уградње</w:t>
      </w:r>
      <w:proofErr w:type="spellEnd"/>
      <w:proofErr w:type="gramEnd"/>
      <w:r>
        <w:t xml:space="preserve"> </w:t>
      </w:r>
      <w:proofErr w:type="spellStart"/>
      <w:r>
        <w:t>соларних</w:t>
      </w:r>
      <w:proofErr w:type="spellEnd"/>
      <w:r>
        <w:t xml:space="preserve"> </w:t>
      </w:r>
      <w:proofErr w:type="spellStart"/>
      <w:r>
        <w:t>панела</w:t>
      </w:r>
      <w:proofErr w:type="spellEnd"/>
      <w:r>
        <w:t xml:space="preserve"> и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</w:t>
      </w:r>
      <w:proofErr w:type="spellStart"/>
      <w:r>
        <w:t>уградње</w:t>
      </w:r>
      <w:proofErr w:type="spellEnd"/>
      <w:r>
        <w:t xml:space="preserve"> </w:t>
      </w:r>
      <w:proofErr w:type="spellStart"/>
      <w:r>
        <w:t>двосмерног</w:t>
      </w:r>
      <w:proofErr w:type="spellEnd"/>
      <w:r>
        <w:t xml:space="preserve"> </w:t>
      </w:r>
      <w:proofErr w:type="spellStart"/>
      <w:r>
        <w:t>мерног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предате</w:t>
      </w:r>
      <w:proofErr w:type="spellEnd"/>
      <w:r>
        <w:t xml:space="preserve"> и </w:t>
      </w:r>
      <w:proofErr w:type="spellStart"/>
      <w:r>
        <w:t>примљене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уградњи</w:t>
      </w:r>
      <w:proofErr w:type="spellEnd"/>
      <w:r>
        <w:t xml:space="preserve"> </w:t>
      </w:r>
      <w:proofErr w:type="spellStart"/>
      <w:r>
        <w:t>соларних</w:t>
      </w:r>
      <w:proofErr w:type="spellEnd"/>
      <w:r>
        <w:t xml:space="preserve"> </w:t>
      </w:r>
      <w:proofErr w:type="spellStart"/>
      <w:r>
        <w:t>панела</w:t>
      </w:r>
      <w:proofErr w:type="spellEnd"/>
      <w:r>
        <w:t xml:space="preserve"> и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прикључења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дистрибутивни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>.</w:t>
      </w:r>
    </w:p>
    <w:p w:rsidR="00F63304" w:rsidRDefault="00F63304" w:rsidP="00F63304">
      <w:pPr>
        <w:jc w:val="both"/>
      </w:pPr>
    </w:p>
    <w:p w:rsidR="00F63304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4</w:t>
      </w: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  <w:r>
        <w:tab/>
      </w:r>
      <w:proofErr w:type="spellStart"/>
      <w:proofErr w:type="gram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2022.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 </w:t>
      </w:r>
      <w:proofErr w:type="spellStart"/>
      <w:r>
        <w:t>суфинансирати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у </w:t>
      </w:r>
      <w:proofErr w:type="spellStart"/>
      <w:r>
        <w:t>домаћинствима</w:t>
      </w:r>
      <w:proofErr w:type="spellEnd"/>
      <w:r>
        <w:t xml:space="preserve"> и </w:t>
      </w:r>
      <w:proofErr w:type="spellStart"/>
      <w:r>
        <w:t>стамбеним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90%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опредељених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намењује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власнике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, а 10%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>.</w:t>
      </w:r>
    </w:p>
    <w:p w:rsidR="00F63304" w:rsidRDefault="00F63304" w:rsidP="00F63304">
      <w:pPr>
        <w:jc w:val="both"/>
      </w:pPr>
      <w:r>
        <w:tab/>
      </w:r>
      <w:proofErr w:type="spellStart"/>
      <w:r>
        <w:t>Удео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 xml:space="preserve">,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50%, а </w:t>
      </w:r>
      <w:proofErr w:type="spellStart"/>
      <w:r>
        <w:t>субвенционисани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50% </w:t>
      </w:r>
      <w:proofErr w:type="spellStart"/>
      <w:r>
        <w:t>покривају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уделом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25% и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рударства</w:t>
      </w:r>
      <w:proofErr w:type="spellEnd"/>
      <w:r>
        <w:t xml:space="preserve"> и </w:t>
      </w:r>
      <w:proofErr w:type="spellStart"/>
      <w:r>
        <w:t>енергетике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уделом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25%.</w:t>
      </w:r>
    </w:p>
    <w:p w:rsidR="00F63304" w:rsidRDefault="00F63304" w:rsidP="00F63304">
      <w:pPr>
        <w:jc w:val="both"/>
      </w:pPr>
      <w:r>
        <w:tab/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proofErr w:type="spellStart"/>
      <w:r>
        <w:t>суфинансирати</w:t>
      </w:r>
      <w:proofErr w:type="spellEnd"/>
      <w:r>
        <w:t xml:space="preserve">,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субвенција</w:t>
      </w:r>
      <w:proofErr w:type="spellEnd"/>
      <w:r>
        <w:t xml:space="preserve">, </w:t>
      </w:r>
      <w:proofErr w:type="spellStart"/>
      <w:r>
        <w:t>учесници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, </w:t>
      </w:r>
      <w:proofErr w:type="spellStart"/>
      <w:r>
        <w:t>општи</w:t>
      </w:r>
      <w:proofErr w:type="spellEnd"/>
      <w:r>
        <w:t xml:space="preserve"> и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транспарентност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извештавање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., </w:t>
      </w:r>
      <w:proofErr w:type="spellStart"/>
      <w:r>
        <w:t>дефинисаће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суфинансирању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</w:p>
    <w:p w:rsidR="00F63304" w:rsidRPr="002B2856" w:rsidRDefault="00F63304" w:rsidP="00F63304">
      <w:pPr>
        <w:jc w:val="both"/>
      </w:pPr>
    </w:p>
    <w:p w:rsidR="00F63304" w:rsidRPr="002B2856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5</w:t>
      </w:r>
    </w:p>
    <w:p w:rsidR="00F63304" w:rsidRDefault="00F63304" w:rsidP="00F63304">
      <w:pPr>
        <w:jc w:val="center"/>
      </w:pPr>
    </w:p>
    <w:p w:rsidR="00F63304" w:rsidRPr="00946302" w:rsidRDefault="00F63304" w:rsidP="00F63304">
      <w:pPr>
        <w:jc w:val="both"/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домаћинствима</w:t>
      </w:r>
      <w:proofErr w:type="spellEnd"/>
      <w:r>
        <w:t xml:space="preserve"> и </w:t>
      </w:r>
      <w:proofErr w:type="spellStart"/>
      <w:r>
        <w:t>стамбеним</w:t>
      </w:r>
      <w:proofErr w:type="spellEnd"/>
      <w:r>
        <w:t xml:space="preserve"> </w:t>
      </w:r>
      <w:proofErr w:type="spellStart"/>
      <w:proofErr w:type="gramStart"/>
      <w:r>
        <w:t>заједницама</w:t>
      </w:r>
      <w:proofErr w:type="spellEnd"/>
      <w:r>
        <w:t xml:space="preserve">  </w:t>
      </w:r>
      <w:proofErr w:type="spellStart"/>
      <w:r>
        <w:t>обезбеђена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F63304" w:rsidRPr="00946302" w:rsidRDefault="00F63304" w:rsidP="00F63304">
      <w:pPr>
        <w:jc w:val="both"/>
      </w:pPr>
      <w:r>
        <w:tab/>
      </w:r>
      <w:proofErr w:type="spellStart"/>
      <w:proofErr w:type="gram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2022.</w:t>
      </w:r>
      <w:proofErr w:type="gramEnd"/>
      <w: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домаћинстава</w:t>
      </w:r>
      <w:proofErr w:type="spellEnd"/>
      <w:r>
        <w:t xml:space="preserve"> и </w:t>
      </w:r>
      <w:proofErr w:type="spellStart"/>
      <w:r>
        <w:t>стамбених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15.000.000,00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</w:p>
    <w:p w:rsidR="00F63304" w:rsidRPr="00946302" w:rsidRDefault="00F63304" w:rsidP="00F63304">
      <w:pPr>
        <w:jc w:val="both"/>
      </w:pPr>
      <w:r>
        <w:tab/>
      </w:r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42/2021)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5,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,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130 –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; </w:t>
      </w:r>
      <w:proofErr w:type="spellStart"/>
      <w:r>
        <w:t>програм</w:t>
      </w:r>
      <w:proofErr w:type="spellEnd"/>
      <w:r>
        <w:t xml:space="preserve"> 0602;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0001: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и </w:t>
      </w:r>
      <w:proofErr w:type="spellStart"/>
      <w:r>
        <w:t>градских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; </w:t>
      </w:r>
      <w:proofErr w:type="spellStart"/>
      <w:r>
        <w:t>позиција</w:t>
      </w:r>
      <w:proofErr w:type="spellEnd"/>
      <w:r>
        <w:t xml:space="preserve"> 55;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класификација</w:t>
      </w:r>
      <w:proofErr w:type="spellEnd"/>
      <w:r>
        <w:t xml:space="preserve"> 454100 –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предузећима</w:t>
      </w:r>
      <w:proofErr w:type="spellEnd"/>
      <w:r>
        <w:t>.</w:t>
      </w:r>
    </w:p>
    <w:p w:rsidR="00F63304" w:rsidRDefault="00F63304" w:rsidP="00F63304">
      <w:pPr>
        <w:ind w:firstLine="720"/>
        <w:jc w:val="both"/>
      </w:pPr>
      <w:proofErr w:type="spellStart"/>
      <w:proofErr w:type="gramStart"/>
      <w:r>
        <w:t>Расподела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суфинансирању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</w:p>
    <w:p w:rsidR="00F63304" w:rsidRPr="00946302" w:rsidRDefault="00F63304" w:rsidP="00F63304">
      <w:pPr>
        <w:jc w:val="both"/>
      </w:pPr>
      <w:r>
        <w:tab/>
      </w: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и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транзиције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меру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  <w:proofErr w:type="gramEnd"/>
    </w:p>
    <w:p w:rsidR="00F63304" w:rsidRPr="00946302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6</w:t>
      </w:r>
    </w:p>
    <w:p w:rsidR="00F63304" w:rsidRDefault="00F63304" w:rsidP="00F63304">
      <w:pPr>
        <w:jc w:val="center"/>
      </w:pPr>
    </w:p>
    <w:p w:rsidR="00F63304" w:rsidRPr="00282263" w:rsidRDefault="00F63304" w:rsidP="00F63304">
      <w:pPr>
        <w:jc w:val="both"/>
      </w:pPr>
      <w:r>
        <w:tab/>
      </w:r>
      <w:proofErr w:type="spellStart"/>
      <w:proofErr w:type="gramStart"/>
      <w:r>
        <w:t>Активности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стамбеним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у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proofErr w:type="gramEnd"/>
    </w:p>
    <w:p w:rsidR="00F63304" w:rsidRPr="00282263" w:rsidRDefault="00F63304" w:rsidP="00F63304">
      <w:pPr>
        <w:ind w:firstLine="720"/>
        <w:jc w:val="both"/>
      </w:pPr>
      <w:proofErr w:type="spellStart"/>
      <w:proofErr w:type="gramStart"/>
      <w:r>
        <w:t>Активности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.</w:t>
      </w:r>
      <w:proofErr w:type="gramEnd"/>
    </w:p>
    <w:p w:rsidR="00F63304" w:rsidRDefault="00F63304" w:rsidP="00F63304">
      <w:pPr>
        <w:ind w:firstLine="720"/>
        <w:jc w:val="both"/>
      </w:pPr>
      <w:proofErr w:type="spellStart"/>
      <w:proofErr w:type="gram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1 и 2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одабрани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</w:p>
    <w:p w:rsidR="00F63304" w:rsidRDefault="00F63304" w:rsidP="00F63304">
      <w:pPr>
        <w:jc w:val="both"/>
      </w:pPr>
    </w:p>
    <w:p w:rsidR="00F63304" w:rsidRPr="00282263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7</w:t>
      </w: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  <w:r>
        <w:tab/>
      </w:r>
      <w:proofErr w:type="gramStart"/>
      <w:r>
        <w:t xml:space="preserve">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стараће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</w:p>
    <w:p w:rsidR="00F63304" w:rsidRDefault="00F63304" w:rsidP="00F63304">
      <w:pPr>
        <w:jc w:val="both"/>
      </w:pPr>
    </w:p>
    <w:p w:rsidR="00F63304" w:rsidRPr="00604FC4" w:rsidRDefault="00F63304" w:rsidP="00F63304">
      <w:pPr>
        <w:jc w:val="center"/>
      </w:pPr>
      <w:proofErr w:type="spellStart"/>
      <w:r>
        <w:t>Члан</w:t>
      </w:r>
      <w:proofErr w:type="spellEnd"/>
      <w:r>
        <w:t xml:space="preserve"> 8</w:t>
      </w: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  <w:r>
        <w:tab/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  <w:proofErr w:type="gramEnd"/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Pr="00E80F81" w:rsidRDefault="00F63304" w:rsidP="00F63304">
      <w:pPr>
        <w:jc w:val="both"/>
      </w:pPr>
    </w:p>
    <w:p w:rsidR="00F63304" w:rsidRPr="00471E53" w:rsidRDefault="00F63304" w:rsidP="00F63304">
      <w:pPr>
        <w:jc w:val="both"/>
        <w:rPr>
          <w:lang w:val="sr-Cyrl-CS"/>
        </w:rPr>
      </w:pPr>
      <w:r w:rsidRPr="00471E53">
        <w:rPr>
          <w:lang w:val="sr-Cyrl-CS"/>
        </w:rPr>
        <w:t>Број:</w:t>
      </w:r>
      <w:r w:rsidRPr="00471E53">
        <w:rPr>
          <w:lang w:val="sr-Cyrl-CS"/>
        </w:rPr>
        <w:tab/>
      </w:r>
      <w:r>
        <w:rPr>
          <w:lang w:val="sr-Cyrl-CS"/>
        </w:rPr>
        <w:t>06-11/2022-02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ПРЕДСЕДНИК</w:t>
      </w:r>
    </w:p>
    <w:p w:rsidR="00F63304" w:rsidRPr="00471E53" w:rsidRDefault="00F63304" w:rsidP="00F63304">
      <w:pPr>
        <w:jc w:val="both"/>
        <w:rPr>
          <w:lang w:val="sr-Cyrl-CS"/>
        </w:rPr>
      </w:pPr>
      <w:r>
        <w:rPr>
          <w:lang w:val="sr-Cyrl-CS"/>
        </w:rPr>
        <w:t>У Прокупљу,  08.02.2022</w:t>
      </w:r>
      <w:r w:rsidRPr="00471E53">
        <w:rPr>
          <w:lang w:val="sr-Cyrl-CS"/>
        </w:rPr>
        <w:t>. године</w:t>
      </w:r>
      <w:r w:rsidRPr="00471E53">
        <w:rPr>
          <w:lang w:val="sr-Cyrl-CS"/>
        </w:rPr>
        <w:tab/>
      </w:r>
      <w:r w:rsidRPr="00471E53">
        <w:rPr>
          <w:lang w:val="sr-Cyrl-CS"/>
        </w:rPr>
        <w:tab/>
      </w:r>
      <w:r w:rsidRPr="00471E53">
        <w:rPr>
          <w:lang w:val="sr-Cyrl-CS"/>
        </w:rPr>
        <w:tab/>
      </w:r>
      <w:r w:rsidRPr="00471E53">
        <w:rPr>
          <w:lang w:val="sr-Cyrl-CS"/>
        </w:rPr>
        <w:tab/>
        <w:t xml:space="preserve">    </w:t>
      </w:r>
      <w:r>
        <w:rPr>
          <w:lang w:val="sr-Cyrl-CS"/>
        </w:rPr>
        <w:t xml:space="preserve">                   ГРАДСКОГ ВЕЋА</w:t>
      </w:r>
    </w:p>
    <w:p w:rsidR="00F63304" w:rsidRPr="00471E53" w:rsidRDefault="00F63304" w:rsidP="00F63304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Милан Аранђеловић с.р.</w:t>
      </w:r>
    </w:p>
    <w:p w:rsidR="00F63304" w:rsidRPr="00471E53" w:rsidRDefault="00F63304" w:rsidP="00F63304">
      <w:pPr>
        <w:jc w:val="both"/>
      </w:pPr>
    </w:p>
    <w:p w:rsidR="00F63304" w:rsidRPr="00DA4291" w:rsidRDefault="00F63304" w:rsidP="00F63304">
      <w:pPr>
        <w:pStyle w:val="ListParagraph"/>
        <w:ind w:left="1080"/>
        <w:jc w:val="both"/>
      </w:pPr>
    </w:p>
    <w:p w:rsidR="00F63304" w:rsidRDefault="00F63304" w:rsidP="00F63304">
      <w:pPr>
        <w:jc w:val="center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D0959" w:rsidRDefault="00FD0959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656269" w:rsidRDefault="00656269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35380D">
        <w:rPr>
          <w:b/>
          <w:i/>
          <w:sz w:val="22"/>
          <w:szCs w:val="22"/>
          <w:lang w:val="sr-Cyrl-CS"/>
        </w:rPr>
        <w:t>Одлука о финансијској подршци домаћинствима и стамбеним заједницама у процесу енергетске транзиције.....................................................................................................................................1-3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E5" w:rsidRDefault="00227BE5" w:rsidP="00B755E5">
      <w:r>
        <w:separator/>
      </w:r>
    </w:p>
  </w:endnote>
  <w:endnote w:type="continuationSeparator" w:id="0">
    <w:p w:rsidR="00227BE5" w:rsidRDefault="00227BE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E5" w:rsidRDefault="00227BE5" w:rsidP="00B755E5">
      <w:r>
        <w:separator/>
      </w:r>
    </w:p>
  </w:footnote>
  <w:footnote w:type="continuationSeparator" w:id="0">
    <w:p w:rsidR="00227BE5" w:rsidRDefault="00227BE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3304">
          <w:rPr>
            <w:rFonts w:asciiTheme="minorHAnsi" w:hAnsiTheme="minorHAnsi"/>
            <w:i/>
            <w:sz w:val="21"/>
            <w:szCs w:val="21"/>
            <w:lang w:val="sr-Cyrl-RS"/>
          </w:rPr>
          <w:t>08</w:t>
        </w:r>
        <w:r w:rsidR="0019153A">
          <w:rPr>
            <w:i/>
            <w:sz w:val="21"/>
            <w:szCs w:val="21"/>
            <w:lang w:val="en-US"/>
          </w:rPr>
          <w:t>.</w:t>
        </w:r>
        <w:r w:rsidR="00F63304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63304">
      <w:rPr>
        <w:rFonts w:ascii="Times New Roman" w:hAnsi="Times New Roman"/>
        <w:sz w:val="21"/>
        <w:szCs w:val="21"/>
        <w:lang w:val="sr-Cyrl-RS"/>
      </w:rPr>
      <w:t>3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5380D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27BE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E7C2C"/>
    <w:rsid w:val="003F2A1F"/>
    <w:rsid w:val="00401A86"/>
    <w:rsid w:val="00404AD8"/>
    <w:rsid w:val="00417098"/>
    <w:rsid w:val="00441B5E"/>
    <w:rsid w:val="004574EA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30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17210"/>
    <w:rsid w:val="00E67BA7"/>
    <w:rsid w:val="00E9461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EF14-8CA5-4A6A-B046-EB36D537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05.Јануар  2022. године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08.фебруар  2022. године</dc:title>
  <dc:creator>Ivana Miladinović</dc:creator>
  <cp:lastModifiedBy>Ivana Miladinović</cp:lastModifiedBy>
  <cp:revision>62</cp:revision>
  <cp:lastPrinted>2022-01-05T07:29:00Z</cp:lastPrinted>
  <dcterms:created xsi:type="dcterms:W3CDTF">2021-09-14T12:41:00Z</dcterms:created>
  <dcterms:modified xsi:type="dcterms:W3CDTF">2022-02-09T07:40:00Z</dcterms:modified>
</cp:coreProperties>
</file>