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8" w:rsidRDefault="003C3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E3262">
        <w:rPr>
          <w:sz w:val="24"/>
          <w:szCs w:val="24"/>
        </w:rPr>
        <w:t xml:space="preserve"> </w:t>
      </w:r>
    </w:p>
    <w:p w:rsidR="003E14C8" w:rsidRDefault="00EE3262">
      <w:pPr>
        <w:spacing w:after="160" w:line="240" w:lineRule="auto"/>
        <w:jc w:val="center"/>
        <w:rPr>
          <w:sz w:val="24"/>
          <w:szCs w:val="24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857250" cy="1114425"/>
            <wp:effectExtent l="0" t="0" r="0" b="0"/>
            <wp:docPr id="2" name="image1.jpg" descr="http://www.prokuplje.org.yu/g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prokuplje.org.yu/gr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4C8" w:rsidRDefault="003E14C8">
      <w:pPr>
        <w:spacing w:after="240" w:line="240" w:lineRule="auto"/>
        <w:rPr>
          <w:sz w:val="24"/>
          <w:szCs w:val="24"/>
        </w:rPr>
      </w:pPr>
    </w:p>
    <w:p w:rsidR="003E14C8" w:rsidRPr="00D75817" w:rsidRDefault="00EE3262">
      <w:pPr>
        <w:spacing w:after="160" w:line="240" w:lineRule="auto"/>
        <w:jc w:val="center"/>
        <w:rPr>
          <w:sz w:val="24"/>
          <w:szCs w:val="24"/>
        </w:rPr>
      </w:pPr>
      <w:r w:rsidRPr="00D75817">
        <w:rPr>
          <w:b/>
          <w:color w:val="000000"/>
          <w:sz w:val="24"/>
          <w:szCs w:val="24"/>
        </w:rPr>
        <w:t>ЛОКАЛНИ АКЦИОНИ ПЛАН</w:t>
      </w:r>
    </w:p>
    <w:p w:rsidR="003E14C8" w:rsidRPr="00D75817" w:rsidRDefault="00EE3262">
      <w:pPr>
        <w:spacing w:after="160" w:line="240" w:lineRule="auto"/>
        <w:jc w:val="center"/>
        <w:rPr>
          <w:sz w:val="24"/>
          <w:szCs w:val="24"/>
        </w:rPr>
      </w:pPr>
      <w:r w:rsidRPr="00D75817">
        <w:rPr>
          <w:b/>
          <w:color w:val="000000"/>
          <w:sz w:val="24"/>
          <w:szCs w:val="24"/>
        </w:rPr>
        <w:t>ЗА ОБЕЗБЕЂИВАЊЕ ПРАВЕДНОГ И КВАЛИТЕТНОГ ОБРАЗОВАЊА ДЕЦЕ НА ТЕРИТОРИЈИ ГРАДА ПРОКУПЉА</w:t>
      </w:r>
    </w:p>
    <w:p w:rsidR="003E14C8" w:rsidRPr="00D75817" w:rsidRDefault="00EE3262">
      <w:pPr>
        <w:spacing w:after="160" w:line="240" w:lineRule="auto"/>
        <w:jc w:val="center"/>
        <w:rPr>
          <w:sz w:val="24"/>
          <w:szCs w:val="24"/>
        </w:rPr>
      </w:pPr>
      <w:r w:rsidRPr="00D75817">
        <w:rPr>
          <w:b/>
          <w:color w:val="000000"/>
          <w:sz w:val="24"/>
          <w:szCs w:val="24"/>
        </w:rPr>
        <w:t>Локалног тима Прокупља у  оквиру пројекта</w:t>
      </w:r>
    </w:p>
    <w:p w:rsidR="003E14C8" w:rsidRPr="00D75817" w:rsidRDefault="00EE3262">
      <w:pPr>
        <w:spacing w:after="160" w:line="240" w:lineRule="auto"/>
        <w:jc w:val="center"/>
        <w:rPr>
          <w:sz w:val="24"/>
          <w:szCs w:val="24"/>
        </w:rPr>
      </w:pPr>
      <w:r w:rsidRPr="00D75817">
        <w:rPr>
          <w:b/>
          <w:i/>
          <w:color w:val="000000"/>
          <w:sz w:val="24"/>
          <w:szCs w:val="24"/>
        </w:rPr>
        <w:t>Пројекат „Партнерство за праведно квалитетно образовање“</w:t>
      </w:r>
    </w:p>
    <w:p w:rsidR="003E14C8" w:rsidRPr="00D75817" w:rsidRDefault="003E14C8">
      <w:pPr>
        <w:spacing w:after="0" w:line="240" w:lineRule="auto"/>
        <w:rPr>
          <w:sz w:val="24"/>
          <w:szCs w:val="24"/>
        </w:rPr>
      </w:pPr>
    </w:p>
    <w:p w:rsidR="003E14C8" w:rsidRPr="00D75817" w:rsidRDefault="00EE3262">
      <w:pPr>
        <w:spacing w:after="160" w:line="240" w:lineRule="auto"/>
        <w:jc w:val="center"/>
        <w:rPr>
          <w:sz w:val="24"/>
          <w:szCs w:val="24"/>
        </w:rPr>
      </w:pPr>
      <w:r w:rsidRPr="00D75817">
        <w:rPr>
          <w:b/>
          <w:color w:val="000000"/>
          <w:sz w:val="24"/>
          <w:szCs w:val="24"/>
        </w:rPr>
        <w:t>ЗА ПЕРИОД 2022-2024 ГОДИНЕ</w:t>
      </w:r>
    </w:p>
    <w:p w:rsidR="003E14C8" w:rsidRPr="00D75817" w:rsidRDefault="00EE3262">
      <w:pPr>
        <w:spacing w:after="240" w:line="240" w:lineRule="auto"/>
        <w:rPr>
          <w:sz w:val="24"/>
          <w:szCs w:val="24"/>
        </w:rPr>
      </w:pPr>
      <w:r w:rsidRPr="00D75817">
        <w:rPr>
          <w:sz w:val="24"/>
          <w:szCs w:val="24"/>
        </w:rPr>
        <w:br/>
      </w:r>
      <w:r w:rsidRPr="00D75817">
        <w:rPr>
          <w:sz w:val="24"/>
          <w:szCs w:val="24"/>
        </w:rPr>
        <w:br/>
      </w:r>
      <w:r w:rsidRPr="00D75817">
        <w:rPr>
          <w:sz w:val="24"/>
          <w:szCs w:val="24"/>
        </w:rPr>
        <w:br/>
      </w:r>
      <w:r w:rsidRPr="00D75817">
        <w:rPr>
          <w:sz w:val="24"/>
          <w:szCs w:val="24"/>
        </w:rPr>
        <w:br/>
      </w:r>
    </w:p>
    <w:p w:rsidR="00247889" w:rsidRDefault="00EE3262">
      <w:pPr>
        <w:spacing w:after="160" w:line="240" w:lineRule="auto"/>
        <w:jc w:val="center"/>
        <w:rPr>
          <w:b/>
          <w:sz w:val="24"/>
          <w:szCs w:val="24"/>
        </w:rPr>
      </w:pPr>
      <w:r w:rsidRPr="00D75817">
        <w:rPr>
          <w:b/>
          <w:sz w:val="24"/>
          <w:szCs w:val="24"/>
        </w:rPr>
        <w:t xml:space="preserve">Прокупље </w:t>
      </w:r>
    </w:p>
    <w:p w:rsidR="003E14C8" w:rsidRPr="00D75817" w:rsidRDefault="00CA7E72">
      <w:pPr>
        <w:spacing w:after="16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/>
        </w:rPr>
        <w:t>Децембар</w:t>
      </w:r>
      <w:r w:rsidR="00EE3262" w:rsidRPr="00D75817">
        <w:rPr>
          <w:b/>
          <w:sz w:val="24"/>
          <w:szCs w:val="24"/>
        </w:rPr>
        <w:t>, 2022. године</w:t>
      </w:r>
      <w:r w:rsidR="00EE3262" w:rsidRPr="00D75817">
        <w:rPr>
          <w:b/>
          <w:sz w:val="24"/>
          <w:szCs w:val="24"/>
        </w:rPr>
        <w:br/>
      </w:r>
    </w:p>
    <w:p w:rsidR="003E14C8" w:rsidRPr="00D75817" w:rsidRDefault="003E14C8">
      <w:pPr>
        <w:spacing w:after="240" w:line="240" w:lineRule="auto"/>
        <w:rPr>
          <w:sz w:val="24"/>
          <w:szCs w:val="24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3E14C8">
      <w:pPr>
        <w:spacing w:after="160" w:line="240" w:lineRule="auto"/>
        <w:rPr>
          <w:b/>
          <w:i/>
          <w:color w:val="000000"/>
        </w:rPr>
      </w:pPr>
    </w:p>
    <w:p w:rsidR="003E14C8" w:rsidRDefault="00EE3262">
      <w:pPr>
        <w:spacing w:after="16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Садржај: </w:t>
      </w:r>
    </w:p>
    <w:p w:rsidR="003E14C8" w:rsidRDefault="00EE3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Увод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Иницијатива за израду Акционог плана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Локални Пројектни тим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Правни оквир и веза са другим планским документима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Географски подаци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Демографски подаци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Анализа стања из претходног периода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Просторни и кадровски капацитети </w:t>
      </w:r>
      <w:r w:rsidR="00420B23">
        <w:rPr>
          <w:color w:val="000000"/>
          <w:sz w:val="28"/>
          <w:szCs w:val="28"/>
        </w:rPr>
        <w:t>образовно-васпитних установа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Методологија израде Акционог плана</w:t>
      </w:r>
    </w:p>
    <w:p w:rsidR="003E14C8" w:rsidRDefault="00EE3262">
      <w:pPr>
        <w:numPr>
          <w:ilvl w:val="0"/>
          <w:numId w:val="7"/>
        </w:num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Имплементација и праћење</w:t>
      </w:r>
    </w:p>
    <w:p w:rsidR="003E14C8" w:rsidRDefault="00EE326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EE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3E14C8" w:rsidRDefault="00EE3262">
      <w:pPr>
        <w:numPr>
          <w:ilvl w:val="0"/>
          <w:numId w:val="8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Увод</w:t>
      </w:r>
    </w:p>
    <w:p w:rsidR="003E14C8" w:rsidRDefault="00EE3262">
      <w:pPr>
        <w:spacing w:before="240" w:after="240" w:line="240" w:lineRule="auto"/>
        <w:ind w:left="76" w:firstLine="465"/>
        <w:jc w:val="both"/>
        <w:rPr>
          <w:sz w:val="24"/>
          <w:szCs w:val="24"/>
        </w:rPr>
      </w:pPr>
      <w:r>
        <w:rPr>
          <w:color w:val="000000"/>
        </w:rPr>
        <w:t>Приоритет града Прокупља је обезбеђивање квалитетног образовања за свако дете кроз развијање праведних уписних политика и пракси на локалном нивоу, унапређење партнерства између образовно васпитних установа и осталих институција и организација.</w:t>
      </w:r>
    </w:p>
    <w:p w:rsidR="003E14C8" w:rsidRDefault="00EE3262">
      <w:pPr>
        <w:spacing w:before="240" w:after="240" w:line="240" w:lineRule="auto"/>
        <w:ind w:firstLine="465"/>
        <w:jc w:val="both"/>
        <w:rPr>
          <w:sz w:val="24"/>
          <w:szCs w:val="24"/>
        </w:rPr>
      </w:pPr>
      <w:r>
        <w:rPr>
          <w:color w:val="000000"/>
        </w:rPr>
        <w:t>Значајан чинилац у овом процесу је креирање праведне уписне политике у јавним основним школама, те је у складу са тим дефинисана потреба израде Локалног акционог плана за праведан упис ученика у основне школе на територији града Прокупља.</w:t>
      </w:r>
    </w:p>
    <w:p w:rsidR="003E14C8" w:rsidRDefault="00EE3262">
      <w:pPr>
        <w:spacing w:before="240" w:after="240" w:line="240" w:lineRule="auto"/>
        <w:ind w:left="-66" w:firstLine="465"/>
        <w:jc w:val="both"/>
        <w:rPr>
          <w:color w:val="000000"/>
        </w:rPr>
      </w:pPr>
      <w:r>
        <w:rPr>
          <w:color w:val="000000"/>
        </w:rPr>
        <w:t>Локални акциони план за праведан упис ученика у основне школе на територији града Прокупља представља инструмент за активно спровођење праведне уписне политике у јавним основним школама на територији града Прокупља што подразумева смањивање неједнакости у образовању и пружање интегрисане подршке деци и породицама из осетљивих друштвених група кроз заједничко деловање свих релевантних партнера на локалном нивоу.</w:t>
      </w:r>
    </w:p>
    <w:p w:rsidR="003E14C8" w:rsidRDefault="00EE3262">
      <w:pPr>
        <w:spacing w:before="240" w:after="0" w:line="240" w:lineRule="auto"/>
        <w:ind w:left="76" w:firstLine="465"/>
        <w:jc w:val="both"/>
        <w:rPr>
          <w:sz w:val="24"/>
          <w:szCs w:val="24"/>
        </w:rPr>
      </w:pPr>
      <w:r>
        <w:rPr>
          <w:color w:val="000000"/>
        </w:rPr>
        <w:t>Општи циљ је усмерен на инклузивно и праведно квалитетно образовање и промовисање целоживотног учења за све, а посебни циљеви на равномеран упис деце из осетљивих група у основне школе на територији града Прокупља, ради постизања приближно једнаког броја деце из ових група, у основним школама.</w:t>
      </w:r>
    </w:p>
    <w:p w:rsidR="003E14C8" w:rsidRDefault="00EE3262">
      <w:pPr>
        <w:spacing w:before="240" w:after="240" w:line="240" w:lineRule="auto"/>
        <w:ind w:left="76" w:firstLine="465"/>
        <w:jc w:val="both"/>
        <w:rPr>
          <w:sz w:val="24"/>
          <w:szCs w:val="24"/>
        </w:rPr>
      </w:pPr>
      <w:r>
        <w:rPr>
          <w:color w:val="000000"/>
        </w:rPr>
        <w:t>Дакле, Акциони план треба да унапреди систем уписа ученика у основну школу, да допринесе даљем развоју и унапређењу процеса образовања и васпитања, а све то у складу са општим и посебним циљевима и стандардима, одређеним Законом о основама система образовања и васпитања и Стратегијом развоја образовања и васпитања у Републици Србији до 2030. године.</w:t>
      </w:r>
    </w:p>
    <w:p w:rsidR="003E14C8" w:rsidRDefault="00EE3262">
      <w:pPr>
        <w:spacing w:before="240" w:after="240" w:line="240" w:lineRule="auto"/>
        <w:ind w:left="76" w:firstLine="465"/>
        <w:jc w:val="both"/>
        <w:rPr>
          <w:sz w:val="24"/>
          <w:szCs w:val="24"/>
        </w:rPr>
      </w:pPr>
      <w:r>
        <w:rPr>
          <w:color w:val="000000"/>
        </w:rPr>
        <w:t>Израду Локалног акционог плана за праведан упис ученика у основне школе на територији града Прокупља спроводи Локални пројектни тим који чине представници релевантних институција, организација и ромске заједнице на територији града Прокупља.</w:t>
      </w:r>
    </w:p>
    <w:p w:rsidR="003E14C8" w:rsidRDefault="00EE3262">
      <w:pPr>
        <w:spacing w:before="240" w:after="0" w:line="240" w:lineRule="auto"/>
        <w:ind w:left="76" w:firstLine="465"/>
        <w:jc w:val="both"/>
        <w:rPr>
          <w:sz w:val="24"/>
          <w:szCs w:val="24"/>
        </w:rPr>
      </w:pPr>
      <w:r>
        <w:rPr>
          <w:color w:val="000000"/>
        </w:rPr>
        <w:t>Тежња града Прокупља је да у будућности своје потенцијале стави у функцију најбољих интереса за образовни процес деце и да своје најмлађе суграђане уважава као драгоцен ресурс заједнице.</w:t>
      </w:r>
      <w:r>
        <w:rPr>
          <w:sz w:val="24"/>
          <w:szCs w:val="24"/>
        </w:rPr>
        <w:br/>
      </w:r>
    </w:p>
    <w:p w:rsidR="003E14C8" w:rsidRDefault="00EE3262">
      <w:pPr>
        <w:spacing w:after="160" w:line="240" w:lineRule="auto"/>
        <w:ind w:left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Иницијатива за израду Акционог планa</w:t>
      </w:r>
    </w:p>
    <w:p w:rsidR="003E14C8" w:rsidRDefault="00EE3262">
      <w:pPr>
        <w:spacing w:before="240" w:after="240" w:line="240" w:lineRule="auto"/>
        <w:ind w:firstLine="465"/>
        <w:jc w:val="both"/>
        <w:rPr>
          <w:color w:val="000000"/>
        </w:rPr>
      </w:pPr>
      <w:r>
        <w:rPr>
          <w:color w:val="000000"/>
        </w:rPr>
        <w:t>Израда Акционог плана за праведно квалитетно образовање града Прокупља за период 2022-24. године иницирана је у оквиру пројекта „Партнерство за праведно квалитетно образовање“ који реализује Локална самоуправа Града Прокупља и основне школе „Милић Ракић Мирко“, „Ратко Павловић Ћићко“, „Никодије Стојановић Татко“ , „9. октобар“,  у сарадњи са ЦИП-Центром за интерактивну педагогију  и Дечијом  фондацијом Песталоци, уз подршку Министарства просвете, науке и технолошког развоја.  </w:t>
      </w:r>
    </w:p>
    <w:p w:rsidR="003E14C8" w:rsidRDefault="00EE3262">
      <w:pPr>
        <w:spacing w:after="160" w:line="240" w:lineRule="auto"/>
        <w:ind w:left="720"/>
        <w:jc w:val="both"/>
        <w:rPr>
          <w:b/>
          <w:sz w:val="24"/>
          <w:szCs w:val="24"/>
        </w:rPr>
      </w:pPr>
      <w:r>
        <w:rPr>
          <w:b/>
          <w:color w:val="000000"/>
        </w:rPr>
        <w:lastRenderedPageBreak/>
        <w:t>Циљеви АП су:</w:t>
      </w:r>
    </w:p>
    <w:p w:rsidR="003E14C8" w:rsidRDefault="00EE3262">
      <w:pPr>
        <w:numPr>
          <w:ilvl w:val="0"/>
          <w:numId w:val="9"/>
        </w:numPr>
        <w:spacing w:after="0" w:line="240" w:lineRule="auto"/>
        <w:ind w:left="1440"/>
        <w:rPr>
          <w:color w:val="000000"/>
          <w:sz w:val="20"/>
          <w:szCs w:val="20"/>
        </w:rPr>
      </w:pPr>
      <w:r>
        <w:rPr>
          <w:color w:val="000000"/>
        </w:rPr>
        <w:t>обезбеђивање квалитетног образовања за свако дете кроз развијање праведних уписних политика и пракси на локалном нивоу, </w:t>
      </w:r>
    </w:p>
    <w:p w:rsidR="003E14C8" w:rsidRDefault="00EE3262">
      <w:pPr>
        <w:numPr>
          <w:ilvl w:val="0"/>
          <w:numId w:val="9"/>
        </w:numPr>
        <w:spacing w:after="0" w:line="240" w:lineRule="auto"/>
        <w:ind w:left="1440"/>
        <w:rPr>
          <w:color w:val="000000"/>
          <w:sz w:val="20"/>
          <w:szCs w:val="20"/>
        </w:rPr>
      </w:pPr>
      <w:r>
        <w:rPr>
          <w:color w:val="000000"/>
        </w:rPr>
        <w:t>унапређивање партнерства између образовно- васпитних установа и осталих институција и организација,</w:t>
      </w:r>
    </w:p>
    <w:p w:rsidR="003E14C8" w:rsidRDefault="00EE3262">
      <w:pPr>
        <w:numPr>
          <w:ilvl w:val="0"/>
          <w:numId w:val="9"/>
        </w:numPr>
        <w:spacing w:after="0" w:line="240" w:lineRule="auto"/>
        <w:ind w:left="1440"/>
        <w:rPr>
          <w:color w:val="000000"/>
          <w:sz w:val="20"/>
          <w:szCs w:val="20"/>
        </w:rPr>
      </w:pPr>
      <w:r>
        <w:rPr>
          <w:color w:val="000000"/>
        </w:rPr>
        <w:t>пружање подршке деци и породицама.  </w:t>
      </w:r>
    </w:p>
    <w:p w:rsidR="003E14C8" w:rsidRDefault="003E14C8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3E14C8" w:rsidRDefault="00EE3262">
      <w:pPr>
        <w:spacing w:after="16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Полазишта за израду АП су актуелна документа образовне политике у Србији (Стратегијa развоја образовања у Србији до 2030, Закон о основама система образовања и васпитања), као и међународна документа (Агенда за одрживи развој 2030), на основу којих Влада Републике Србије и Министарство просвете, науке и технолошког развоја, са различитим партнерима, интензивно раде на унапређивању образовног система и права све деце на квалитетно образовање. </w:t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EE3262">
      <w:pPr>
        <w:spacing w:after="160" w:line="240" w:lineRule="auto"/>
        <w:ind w:left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 Локални пројектни тим</w:t>
      </w:r>
    </w:p>
    <w:p w:rsidR="003E14C8" w:rsidRDefault="00EE3262">
      <w:pPr>
        <w:spacing w:after="160" w:line="240" w:lineRule="auto"/>
        <w:ind w:left="720"/>
        <w:rPr>
          <w:sz w:val="24"/>
          <w:szCs w:val="24"/>
        </w:rPr>
      </w:pPr>
      <w:r>
        <w:rPr>
          <w:color w:val="000000"/>
        </w:rPr>
        <w:t>Чланови Локалног пројектног тима који су радили на развијању Акционог плана су: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Милан Аранђеловић, градоначелника града Прокупља-координатор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Катарина Вељовић, члан Градског -заменик координатора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Небојша Раденковић, члан Градског већа за образовање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Миладин Милосављевић, саветник у Градској управи града Прокупља - члан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Александра Стојановић, педагог Центар за социјални рад - члан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Весна Петковић, педијатар „Дом Здравља“ - члан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Биљана Динчић, социјални радник „Предшколска установа Невен“- члан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Сафет Сушица, координатор „Ромактед програма“ - члан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Ивана Милосављевић, фондација Траг - члан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Маја Аранђелов</w:t>
      </w:r>
      <w:r w:rsidR="00B214CC">
        <w:rPr>
          <w:color w:val="000000"/>
        </w:rPr>
        <w:t>и</w:t>
      </w:r>
      <w:r>
        <w:rPr>
          <w:color w:val="000000"/>
        </w:rPr>
        <w:t>ћ, „Муп Прокупље“ - члан тима;</w:t>
      </w:r>
    </w:p>
    <w:p w:rsidR="003E14C8" w:rsidRDefault="00EE326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Срђан Ковачевић, директор О</w:t>
      </w:r>
      <w:r w:rsidR="006D382D">
        <w:rPr>
          <w:color w:val="000000"/>
        </w:rPr>
        <w:t>Ш ,,</w:t>
      </w:r>
      <w:r>
        <w:rPr>
          <w:color w:val="000000"/>
        </w:rPr>
        <w:t>Никодије Стојановић Татко“- члан тима;</w:t>
      </w:r>
    </w:p>
    <w:p w:rsidR="003E14C8" w:rsidRDefault="003E14C8">
      <w:pPr>
        <w:spacing w:after="0" w:line="240" w:lineRule="auto"/>
        <w:ind w:left="720"/>
        <w:jc w:val="both"/>
        <w:rPr>
          <w:color w:val="000000"/>
        </w:rPr>
      </w:pPr>
    </w:p>
    <w:p w:rsidR="003E14C8" w:rsidRDefault="00EE3262">
      <w:pPr>
        <w:spacing w:after="16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Поред делегираних чланова Локалног тима у развијању АП учествовали су: заменик градоначелника града Прокупља Мирослав Антовић, директори Љиљана Вековић ОШ </w:t>
      </w:r>
      <w:r w:rsidR="004B34BF">
        <w:rPr>
          <w:color w:val="000000"/>
        </w:rPr>
        <w:t>,,9. Октобар“, Весна Тодоровић ОШ ,,</w:t>
      </w:r>
      <w:r>
        <w:rPr>
          <w:color w:val="000000"/>
        </w:rPr>
        <w:t>Ратко Павловић Ћићко”, Саша Јововић ОШ</w:t>
      </w:r>
      <w:r w:rsidR="004B34BF">
        <w:rPr>
          <w:color w:val="000000"/>
        </w:rPr>
        <w:t>,,Милић Ракић</w:t>
      </w:r>
      <w:r>
        <w:rPr>
          <w:color w:val="000000"/>
        </w:rPr>
        <w:t xml:space="preserve"> Мирко</w:t>
      </w:r>
      <w:r w:rsidR="004B34BF">
        <w:rPr>
          <w:color w:val="000000"/>
        </w:rPr>
        <w:t>“</w:t>
      </w:r>
      <w:r>
        <w:rPr>
          <w:color w:val="000000"/>
        </w:rPr>
        <w:t>, Весна Јовановић ПУ Невен, Весна Смиљковић ГУ Прокупље, Анђелка Алексић просветни инспектор, Љиљана Видаковић ГУ Прокупље, Ивана Миленковић, шеф одсека за образовање и сарадници основних школа, просветне саветнице Татјана Живановић и Јасмина Гејо. </w:t>
      </w:r>
    </w:p>
    <w:p w:rsidR="003E14C8" w:rsidRDefault="003E14C8">
      <w:pPr>
        <w:spacing w:after="240" w:line="240" w:lineRule="auto"/>
        <w:rPr>
          <w:sz w:val="24"/>
          <w:szCs w:val="24"/>
        </w:rPr>
      </w:pPr>
    </w:p>
    <w:p w:rsidR="003E14C8" w:rsidRDefault="00EE3262">
      <w:pPr>
        <w:spacing w:after="160" w:line="240" w:lineRule="auto"/>
        <w:ind w:left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 Правни оквир и веза са другим планским документима</w:t>
      </w:r>
    </w:p>
    <w:p w:rsidR="003E14C8" w:rsidRDefault="00EE3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Закон о основама с</w:t>
      </w:r>
      <w:r w:rsidR="00412577">
        <w:rPr>
          <w:color w:val="000000"/>
        </w:rPr>
        <w:t>истема образовања и васпитања (,,</w:t>
      </w:r>
      <w:r>
        <w:rPr>
          <w:color w:val="000000"/>
        </w:rPr>
        <w:t>Сл. гласник РС”, бр.88/17, 27/18-др. Закони, 10/19 и 6/20 и 129/21);</w:t>
      </w:r>
    </w:p>
    <w:p w:rsidR="003E14C8" w:rsidRDefault="00EE3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Закон о ос</w:t>
      </w:r>
      <w:r w:rsidR="00412577">
        <w:rPr>
          <w:color w:val="000000"/>
        </w:rPr>
        <w:t>новном образовању и васпитању (,,</w:t>
      </w:r>
      <w:r>
        <w:rPr>
          <w:color w:val="000000"/>
        </w:rPr>
        <w:t>Сл. гласник РС”, бр.55/13, 101/17, 27/18-др. закони и 10/19 и 129/21);</w:t>
      </w:r>
    </w:p>
    <w:p w:rsidR="003E14C8" w:rsidRDefault="00EE3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Стратегија развоја образовања и васпитања у Републици Србији до 2030 године (05 бр. 61-5155/2021 од 03.06.2021.г.);</w:t>
      </w:r>
    </w:p>
    <w:p w:rsidR="003E14C8" w:rsidRDefault="00EE3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Закон о национални</w:t>
      </w:r>
      <w:r w:rsidR="00412577">
        <w:rPr>
          <w:color w:val="000000"/>
        </w:rPr>
        <w:t>м саветима националних мањина (,,</w:t>
      </w:r>
      <w:r>
        <w:rPr>
          <w:color w:val="000000"/>
        </w:rPr>
        <w:t>Сл. гласник РС”, бр.72/09, 20/14-одлука УС, 55/14 и 47/18);</w:t>
      </w:r>
    </w:p>
    <w:p w:rsidR="003E14C8" w:rsidRDefault="00EE3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Уредба о критеријумима за доношење акта о мрежи јавних предшколских установа и акта </w:t>
      </w:r>
      <w:r w:rsidR="00D51D5E">
        <w:rPr>
          <w:color w:val="000000"/>
        </w:rPr>
        <w:t>о мрежи јавних основних школа (,,</w:t>
      </w:r>
      <w:r>
        <w:rPr>
          <w:color w:val="000000"/>
        </w:rPr>
        <w:t>Сл. гласник РС”, бр. 21/18);</w:t>
      </w:r>
    </w:p>
    <w:p w:rsidR="003E14C8" w:rsidRDefault="003E1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:rsidR="003E14C8" w:rsidRDefault="00EE326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Одлука о мрежи јавних предшколских установа на територији Града Прокупља („Сл.лист града Прокупља“, бр.4/19);</w:t>
      </w:r>
    </w:p>
    <w:p w:rsidR="003E14C8" w:rsidRDefault="00EE326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Одлука о мрежи јавних основних школа на територији Града Прокупља („Сл.лист града Прокупља“, бр.19/19);</w:t>
      </w:r>
    </w:p>
    <w:p w:rsidR="003E14C8" w:rsidRDefault="00EE326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Уредба о критеријумима за доношење акта о мрежи јавних предшколских установа и акта </w:t>
      </w:r>
      <w:r w:rsidR="00D25805">
        <w:rPr>
          <w:color w:val="000000"/>
        </w:rPr>
        <w:t>о мрежи јавних основних школа (,,</w:t>
      </w:r>
      <w:r>
        <w:rPr>
          <w:color w:val="000000"/>
        </w:rPr>
        <w:t>Сл. гласник РС”, бр. 21/18);</w:t>
      </w:r>
    </w:p>
    <w:p w:rsidR="003E14C8" w:rsidRDefault="00EE326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Статут града Прокупљa („Сл.лист општине Прокупље“, бр.15/18).</w:t>
      </w:r>
    </w:p>
    <w:p w:rsidR="003E14C8" w:rsidRDefault="00EE3262">
      <w:pPr>
        <w:spacing w:before="240" w:after="240" w:line="240" w:lineRule="auto"/>
        <w:ind w:left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 Географски подаци</w:t>
      </w: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Град Прокупље простире се на површини од 759 km</w:t>
      </w:r>
      <w:r>
        <w:rPr>
          <w:color w:val="000000"/>
          <w:sz w:val="13"/>
          <w:szCs w:val="13"/>
          <w:vertAlign w:val="superscript"/>
        </w:rPr>
        <w:t>2</w:t>
      </w:r>
      <w:r>
        <w:rPr>
          <w:color w:val="000000"/>
        </w:rPr>
        <w:t>, у југоисточној Србији, у средњем делу Топличке котлине која је окружена планинама Јастребац, Копаоник, Радан, Видојевица и Пасјача. Рељеф града Прокупљa карактеришу брежуљкаста подручја и пејзажне целине у виду брдовито-планинских терена у којима су усечене долине речних токова и разноврсност у погледу присутног гео и биодиверзитета. Посебно се издвајају очувани предели планина Радан и Јастребац, као и долина реке Топлице.</w:t>
      </w: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Окосницу друмских веза на територији града чини магистрални пут бр. 25 („ХЕ Ђердап“ - Кладово – Неготин – Зајечар – Ниш – Мерошина – Прокупље – Мердаре – граница КиМ) који кроз територију града пролази у правцу исток запад и којим се остварује директна веза са суседним општинским центрима Мерошина и Куршумлија. Овај пут уједно представља и део европског пута Е-80 којим се остварује директна веза са Косовом и Метохијом (Приштина) са једне стране и државе Бугарске са друге, а преко европског пута Е75 (путни правац Хоргош - Београд – Ниш – граница са Македонијом) и са осталом мрежом европских путева. </w:t>
      </w: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У административном погледу припада Tопличком округу. На територији града Прокупља налази се 107 насељених места, у којима живи 40.748 становника. Са просечном густином насељености од 54 становника на km</w:t>
      </w:r>
      <w:r>
        <w:rPr>
          <w:color w:val="000000"/>
          <w:sz w:val="13"/>
          <w:szCs w:val="13"/>
          <w:vertAlign w:val="superscript"/>
        </w:rPr>
        <w:t>2</w:t>
      </w:r>
      <w:r>
        <w:rPr>
          <w:color w:val="000000"/>
        </w:rPr>
        <w:t xml:space="preserve"> град спада у слабо насељене градове.</w:t>
      </w: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Према степену развијености спада у III групу (60%-80% републичког просека) јединица локалне самоуправе.</w:t>
      </w:r>
    </w:p>
    <w:p w:rsidR="003E14C8" w:rsidRDefault="003E14C8">
      <w:pPr>
        <w:spacing w:before="200" w:after="120" w:line="240" w:lineRule="auto"/>
        <w:rPr>
          <w:b/>
          <w:i/>
          <w:color w:val="000000"/>
          <w:sz w:val="24"/>
          <w:szCs w:val="24"/>
        </w:rPr>
      </w:pPr>
    </w:p>
    <w:p w:rsidR="003E14C8" w:rsidRDefault="00EE3262">
      <w:pPr>
        <w:spacing w:before="200" w:after="120" w:line="240" w:lineRule="auto"/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6. Демографски подаци</w:t>
      </w: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Број становника у граду Прокупље смањио се за 9,4% у периоду 2011-2020. година, односно општина је изгубила 4.190 становника (у односу на попис из 1961. године становништво града се смањило скоро за 20.000 или 33%, што је трећина становништва).</w:t>
      </w:r>
    </w:p>
    <w:p w:rsidR="003E14C8" w:rsidRDefault="003E14C8">
      <w:pPr>
        <w:spacing w:after="120" w:line="240" w:lineRule="auto"/>
        <w:ind w:firstLine="720"/>
        <w:jc w:val="both"/>
        <w:rPr>
          <w:sz w:val="24"/>
          <w:szCs w:val="24"/>
        </w:rPr>
      </w:pPr>
    </w:p>
    <w:p w:rsidR="003E14C8" w:rsidRDefault="00EE3262">
      <w:pPr>
        <w:spacing w:after="120" w:line="240" w:lineRule="auto"/>
        <w:jc w:val="center"/>
        <w:rPr>
          <w:sz w:val="24"/>
          <w:szCs w:val="24"/>
        </w:rPr>
      </w:pPr>
      <w:r>
        <w:rPr>
          <w:color w:val="000000"/>
        </w:rPr>
        <w:t>Табела 1. Кретање становништва града Прокупље, 1961-2020.</w:t>
      </w:r>
    </w:p>
    <w:tbl>
      <w:tblPr>
        <w:tblStyle w:val="a"/>
        <w:tblW w:w="5740" w:type="dxa"/>
        <w:jc w:val="center"/>
        <w:tblLayout w:type="fixed"/>
        <w:tblLook w:val="0400"/>
      </w:tblPr>
      <w:tblGrid>
        <w:gridCol w:w="875"/>
        <w:gridCol w:w="1733"/>
        <w:gridCol w:w="1698"/>
        <w:gridCol w:w="1434"/>
      </w:tblGrid>
      <w:tr w:rsidR="003E14C8">
        <w:trPr>
          <w:cantSplit/>
          <w:trHeight w:val="557"/>
          <w:tblHeader/>
          <w:jc w:val="center"/>
        </w:trPr>
        <w:tc>
          <w:tcPr>
            <w:tcW w:w="87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Број становника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Ланчани индекс</w:t>
            </w:r>
          </w:p>
        </w:tc>
        <w:tc>
          <w:tcPr>
            <w:tcW w:w="14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Базни индекс</w:t>
            </w:r>
          </w:p>
        </w:tc>
      </w:tr>
      <w:tr w:rsidR="003E14C8">
        <w:trPr>
          <w:cantSplit/>
          <w:trHeight w:val="303"/>
          <w:tblHeader/>
          <w:jc w:val="center"/>
        </w:trPr>
        <w:tc>
          <w:tcPr>
            <w:tcW w:w="8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60.075</w:t>
            </w:r>
          </w:p>
        </w:tc>
        <w:tc>
          <w:tcPr>
            <w:tcW w:w="16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3E14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E14C8">
        <w:trPr>
          <w:cantSplit/>
          <w:trHeight w:val="303"/>
          <w:tblHeader/>
          <w:jc w:val="center"/>
        </w:trPr>
        <w:tc>
          <w:tcPr>
            <w:tcW w:w="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57.315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3E14C8">
        <w:trPr>
          <w:cantSplit/>
          <w:trHeight w:val="303"/>
          <w:tblHeader/>
          <w:jc w:val="center"/>
        </w:trPr>
        <w:tc>
          <w:tcPr>
            <w:tcW w:w="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1981</w:t>
            </w: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56.256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3E14C8">
        <w:trPr>
          <w:cantSplit/>
          <w:trHeight w:val="303"/>
          <w:tblHeader/>
          <w:jc w:val="center"/>
        </w:trPr>
        <w:tc>
          <w:tcPr>
            <w:tcW w:w="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52.969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3E14C8">
        <w:trPr>
          <w:cantSplit/>
          <w:trHeight w:val="303"/>
          <w:tblHeader/>
          <w:jc w:val="center"/>
        </w:trPr>
        <w:tc>
          <w:tcPr>
            <w:tcW w:w="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48.501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3E14C8">
        <w:trPr>
          <w:cantSplit/>
          <w:trHeight w:val="303"/>
          <w:tblHeader/>
          <w:jc w:val="center"/>
        </w:trPr>
        <w:tc>
          <w:tcPr>
            <w:tcW w:w="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44.419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3E14C8">
        <w:trPr>
          <w:cantSplit/>
          <w:trHeight w:val="303"/>
          <w:tblHeader/>
          <w:jc w:val="center"/>
        </w:trPr>
        <w:tc>
          <w:tcPr>
            <w:tcW w:w="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40.229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</w:tr>
    </w:tbl>
    <w:p w:rsidR="003E14C8" w:rsidRDefault="003E14C8">
      <w:pPr>
        <w:spacing w:after="120" w:line="240" w:lineRule="auto"/>
        <w:jc w:val="center"/>
        <w:rPr>
          <w:color w:val="000000"/>
          <w:sz w:val="20"/>
          <w:szCs w:val="20"/>
        </w:rPr>
      </w:pPr>
    </w:p>
    <w:p w:rsidR="003E14C8" w:rsidRDefault="00EE3262">
      <w:pPr>
        <w:spacing w:after="120" w:line="240" w:lineRule="auto"/>
        <w:jc w:val="center"/>
        <w:rPr>
          <w:sz w:val="24"/>
          <w:szCs w:val="24"/>
        </w:rPr>
      </w:pPr>
      <w:r>
        <w:rPr>
          <w:color w:val="000000"/>
          <w:sz w:val="20"/>
          <w:szCs w:val="20"/>
        </w:rPr>
        <w:t>Напомена: подаци за период 1961-2011 - Попис становништва; подаци за 2020. – процене, средином године</w:t>
      </w:r>
    </w:p>
    <w:p w:rsidR="003E14C8" w:rsidRDefault="00EE3262">
      <w:pPr>
        <w:spacing w:after="120" w:line="240" w:lineRule="auto"/>
        <w:jc w:val="center"/>
        <w:rPr>
          <w:sz w:val="24"/>
          <w:szCs w:val="24"/>
        </w:rPr>
      </w:pPr>
      <w:r>
        <w:rPr>
          <w:color w:val="000000"/>
          <w:sz w:val="20"/>
          <w:szCs w:val="20"/>
        </w:rPr>
        <w:t>Извор: Републички завод за статистику</w:t>
      </w:r>
    </w:p>
    <w:p w:rsidR="003E14C8" w:rsidRDefault="003E14C8">
      <w:pPr>
        <w:spacing w:after="120" w:line="240" w:lineRule="auto"/>
        <w:ind w:firstLine="720"/>
        <w:jc w:val="both"/>
        <w:rPr>
          <w:color w:val="000000"/>
        </w:rPr>
      </w:pP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 xml:space="preserve">Основне карактеристике становништва огледају се у врло неповољним трендовима као што су </w:t>
      </w:r>
      <w:r>
        <w:rPr>
          <w:i/>
          <w:color w:val="000000"/>
        </w:rPr>
        <w:t>укупна депопулација</w:t>
      </w:r>
      <w:r>
        <w:rPr>
          <w:color w:val="000000"/>
        </w:rPr>
        <w:t xml:space="preserve"> (пад броја становника), </w:t>
      </w:r>
      <w:r>
        <w:rPr>
          <w:i/>
          <w:color w:val="000000"/>
        </w:rPr>
        <w:t>природна девастација</w:t>
      </w:r>
      <w:r>
        <w:rPr>
          <w:color w:val="000000"/>
        </w:rPr>
        <w:t xml:space="preserve"> (број умрлих становника већи је од броја живорођених), као и у </w:t>
      </w:r>
      <w:r>
        <w:rPr>
          <w:i/>
          <w:color w:val="000000"/>
        </w:rPr>
        <w:t>негативним миграционим токовима</w:t>
      </w:r>
      <w:r>
        <w:rPr>
          <w:color w:val="000000"/>
        </w:rPr>
        <w:t>, односно миграцијама из града Прокупље у друге делове Србије. Овакви трендови додатно продубљују неповољне промене у структурама становништва, а најизраженије промене су у старосној структури. Званичне демографске пројекције указују на велику извесност демографске регресије.</w:t>
      </w: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Сваки пети становник (21,8%) града старији је од 65 година, а скоро сваки седми (14,8%) млађи од 15 година, према проценама у 2020. години. Доминантан број становника спада у категорију радно способног становништва (15-64 година - 63,4%), што се може узети у обзир као значајан развојни потенцијал.</w:t>
      </w:r>
    </w:p>
    <w:p w:rsidR="003E14C8" w:rsidRDefault="00EE326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Просечна старост становништва је за једну деценију порасла је за једну годину, са 42,2 (2011) на 43,2 године (2020).</w:t>
      </w:r>
    </w:p>
    <w:p w:rsidR="003E14C8" w:rsidRDefault="00EE3262">
      <w:pPr>
        <w:spacing w:after="12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Природно кретање становништва у периоду 2011-2020. године одликује се константним </w:t>
      </w:r>
      <w:r>
        <w:rPr>
          <w:i/>
          <w:color w:val="000000"/>
        </w:rPr>
        <w:t>негативним природним прираштајем</w:t>
      </w:r>
      <w:r>
        <w:rPr>
          <w:color w:val="000000"/>
        </w:rPr>
        <w:t>, уз</w:t>
      </w:r>
      <w:r>
        <w:rPr>
          <w:i/>
          <w:color w:val="000000"/>
        </w:rPr>
        <w:t xml:space="preserve"> наталитет </w:t>
      </w:r>
      <w:r>
        <w:rPr>
          <w:color w:val="000000"/>
        </w:rPr>
        <w:t xml:space="preserve">и </w:t>
      </w:r>
      <w:r>
        <w:rPr>
          <w:i/>
          <w:color w:val="000000"/>
        </w:rPr>
        <w:t>морталитет</w:t>
      </w:r>
      <w:r>
        <w:rPr>
          <w:color w:val="000000"/>
        </w:rPr>
        <w:t xml:space="preserve"> који су годинама скоро на истом нивоу, уз незнатне осцилације.</w:t>
      </w:r>
    </w:p>
    <w:p w:rsidR="003E14C8" w:rsidRDefault="003E14C8">
      <w:pPr>
        <w:spacing w:after="120" w:line="240" w:lineRule="auto"/>
        <w:ind w:firstLine="720"/>
        <w:jc w:val="both"/>
        <w:rPr>
          <w:sz w:val="24"/>
          <w:szCs w:val="24"/>
        </w:rPr>
      </w:pPr>
    </w:p>
    <w:p w:rsidR="003E14C8" w:rsidRDefault="00EE3262">
      <w:pPr>
        <w:spacing w:after="120" w:line="240" w:lineRule="auto"/>
        <w:jc w:val="center"/>
        <w:rPr>
          <w:sz w:val="24"/>
          <w:szCs w:val="24"/>
        </w:rPr>
      </w:pPr>
      <w:r>
        <w:rPr>
          <w:color w:val="000000"/>
        </w:rPr>
        <w:t>Табела 2. Витални догађаји у граду Прокупље, 2011-2020.</w:t>
      </w:r>
    </w:p>
    <w:tbl>
      <w:tblPr>
        <w:tblStyle w:val="a0"/>
        <w:tblW w:w="8378" w:type="dxa"/>
        <w:tblLayout w:type="fixed"/>
        <w:tblLook w:val="0400"/>
      </w:tblPr>
      <w:tblGrid>
        <w:gridCol w:w="217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E14C8">
        <w:trPr>
          <w:cantSplit/>
          <w:trHeight w:val="272"/>
          <w:tblHeader/>
        </w:trPr>
        <w:tc>
          <w:tcPr>
            <w:tcW w:w="2178" w:type="dxa"/>
            <w:tcBorders>
              <w:top w:val="single" w:sz="4" w:space="0" w:color="5B9BD5"/>
              <w:left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0" w:type="dxa"/>
            <w:tcBorders>
              <w:top w:val="single" w:sz="4" w:space="0" w:color="5B9BD5"/>
              <w:bottom w:val="single" w:sz="4" w:space="0" w:color="FFFFFF"/>
              <w:right w:val="single" w:sz="4" w:space="0" w:color="5B9BD5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2020</w:t>
            </w:r>
          </w:p>
        </w:tc>
      </w:tr>
      <w:tr w:rsidR="003E14C8">
        <w:trPr>
          <w:cantSplit/>
          <w:trHeight w:val="272"/>
          <w:tblHeader/>
        </w:trPr>
        <w:tc>
          <w:tcPr>
            <w:tcW w:w="2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Наталитет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387</w:t>
            </w:r>
          </w:p>
        </w:tc>
      </w:tr>
      <w:tr w:rsidR="003E14C8">
        <w:trPr>
          <w:cantSplit/>
          <w:trHeight w:val="272"/>
          <w:tblHeader/>
        </w:trPr>
        <w:tc>
          <w:tcPr>
            <w:tcW w:w="2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Морталитет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833</w:t>
            </w:r>
          </w:p>
        </w:tc>
      </w:tr>
      <w:tr w:rsidR="003E14C8">
        <w:trPr>
          <w:cantSplit/>
          <w:trHeight w:val="272"/>
          <w:tblHeader/>
        </w:trPr>
        <w:tc>
          <w:tcPr>
            <w:tcW w:w="2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Природни прираштај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-354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-340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-275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-309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-338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-280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-250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-262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-298</w:t>
            </w: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4C8" w:rsidRDefault="00EE3262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-446</w:t>
            </w:r>
          </w:p>
        </w:tc>
      </w:tr>
    </w:tbl>
    <w:p w:rsidR="003E14C8" w:rsidRDefault="00EE3262">
      <w:pPr>
        <w:spacing w:after="12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Извор: Витална статистика, Републички завод за статистику</w:t>
      </w:r>
    </w:p>
    <w:p w:rsidR="003E14C8" w:rsidRDefault="003E14C8">
      <w:pPr>
        <w:spacing w:after="120" w:line="240" w:lineRule="auto"/>
        <w:jc w:val="center"/>
        <w:rPr>
          <w:sz w:val="24"/>
          <w:szCs w:val="24"/>
        </w:rPr>
      </w:pPr>
    </w:p>
    <w:p w:rsidR="003E14C8" w:rsidRDefault="00EE3262">
      <w:pPr>
        <w:spacing w:after="160" w:line="240" w:lineRule="auto"/>
        <w:ind w:left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Анализа стања из претходног периода</w:t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EE3262">
      <w:pPr>
        <w:spacing w:after="160" w:line="240" w:lineRule="auto"/>
        <w:jc w:val="both"/>
        <w:rPr>
          <w:color w:val="000000"/>
        </w:rPr>
      </w:pPr>
      <w:r>
        <w:rPr>
          <w:color w:val="000000"/>
        </w:rPr>
        <w:t>  </w:t>
      </w:r>
      <w:r>
        <w:rPr>
          <w:color w:val="000000"/>
        </w:rPr>
        <w:tab/>
        <w:t>У току 2022. године у оквиру Пројекта</w:t>
      </w:r>
      <w:r>
        <w:rPr>
          <w:i/>
          <w:color w:val="000000"/>
        </w:rPr>
        <w:t xml:space="preserve"> „Партнерство за праведно квалитетно образовање“ </w:t>
      </w:r>
      <w:r>
        <w:rPr>
          <w:color w:val="000000"/>
        </w:rPr>
        <w:t xml:space="preserve">именован је тим за квалитетно образовање који је задужен за реализацију Акционог плана града Прокупља, донешена је Одлука о одређивању подручја за упис деце у основне школе на територији града Прокупља, 13-оро деце из ОШ,,Милић Ракић Мирко“, са својим </w:t>
      </w:r>
      <w:r>
        <w:rPr>
          <w:color w:val="000000"/>
        </w:rPr>
        <w:lastRenderedPageBreak/>
        <w:t>наставницима  боравили су у оквиру програма интеркултуралне размене у Дечијем селу Песталоци у Трогену у Швајцарској. Све четири школе из пројекта реализовале су низ заједничких акција, од којих се истичу обилазак Старе Планине, Растовнице, низ спортских такмичења, обуке везане за сналажење у природи, радионице производног типа. </w:t>
      </w:r>
    </w:p>
    <w:p w:rsidR="003E14C8" w:rsidRDefault="003E14C8">
      <w:pPr>
        <w:spacing w:after="160" w:line="240" w:lineRule="auto"/>
        <w:jc w:val="both"/>
        <w:rPr>
          <w:sz w:val="24"/>
          <w:szCs w:val="24"/>
        </w:rPr>
      </w:pPr>
    </w:p>
    <w:p w:rsidR="003E14C8" w:rsidRDefault="00EE3262">
      <w:pPr>
        <w:spacing w:after="16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Просторни и кадровски капацитети образовно – васпитних установа</w:t>
      </w:r>
    </w:p>
    <w:p w:rsidR="003E14C8" w:rsidRDefault="00EE3262">
      <w:pPr>
        <w:spacing w:after="16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Основне школе укључене у Пројекат </w:t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10880" w:type="dxa"/>
        <w:jc w:val="center"/>
        <w:tblLayout w:type="fixed"/>
        <w:tblLook w:val="0400"/>
      </w:tblPr>
      <w:tblGrid>
        <w:gridCol w:w="1340"/>
        <w:gridCol w:w="1010"/>
        <w:gridCol w:w="957"/>
        <w:gridCol w:w="978"/>
        <w:gridCol w:w="1306"/>
        <w:gridCol w:w="1218"/>
        <w:gridCol w:w="1218"/>
        <w:gridCol w:w="1199"/>
        <w:gridCol w:w="1654"/>
      </w:tblGrid>
      <w:tr w:rsidR="003E14C8">
        <w:trPr>
          <w:cantSplit/>
          <w:trHeight w:val="654"/>
          <w:tblHeader/>
          <w:jc w:val="center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 школа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Укупни просторни капацитети школа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Укупан број ученика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(2022/23)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Укупан број запослених (2022/23)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 наставника (2022/23)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издвојена одељења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 ученика из осетљивих група</w:t>
            </w:r>
          </w:p>
        </w:tc>
      </w:tr>
      <w:tr w:rsidR="003E14C8">
        <w:trPr>
          <w:cantSplit/>
          <w:trHeight w:val="874"/>
          <w:tblHeader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3E1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Површина школског о</w:t>
            </w:r>
            <w:r w:rsidR="0092325E"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јекта (m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Површина наставног простора (m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Површина фискултурне сале (m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4C8" w:rsidRDefault="003E1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3E1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3E1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3E1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3E1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3E14C8">
        <w:trPr>
          <w:cantSplit/>
          <w:trHeight w:val="3075"/>
          <w:tblHeader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“Ратко Павловић- Ћићко”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4 221 матична школа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матична школа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 ученика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матична школа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 са тереном 809 ученика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Доња Трнава 290m2 - 48 уч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Бериље 512m - 26 уч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Ћуковац 212 m - 12 уч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ученика ИОП2</w:t>
            </w:r>
          </w:p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ученика ИОП1</w:t>
            </w:r>
          </w:p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ученика ромске националности</w:t>
            </w:r>
          </w:p>
        </w:tc>
      </w:tr>
      <w:tr w:rsidR="003E14C8">
        <w:trPr>
          <w:cantSplit/>
          <w:trHeight w:val="3211"/>
          <w:tblHeader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„Никодије Стојановић-Татко“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 матична школа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1147матична школа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444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  матична школа укупно са тереном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ученика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Доња Речица 940 м2,  49 ученика, Рељинац 274 м2 17 ученика, Булатовац 282 м2 3 ученикa, Баботинац 400м2 6 ученика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ученика ромске националности ,  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ИОП2 - 4 ученика, 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ИОП1-17 ученика </w:t>
            </w:r>
          </w:p>
        </w:tc>
      </w:tr>
      <w:tr w:rsidR="003E14C8">
        <w:trPr>
          <w:cantSplit/>
          <w:trHeight w:val="2311"/>
          <w:tblHeader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803E86">
            <w:pPr>
              <w:spacing w:before="240" w:after="240" w:line="240" w:lineRule="auto"/>
              <w:ind w:right="14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,,</w:t>
            </w:r>
            <w:r w:rsidR="00EE3262">
              <w:rPr>
                <w:b/>
                <w:color w:val="000000"/>
                <w:sz w:val="20"/>
                <w:szCs w:val="20"/>
              </w:rPr>
              <w:t>9.октобар”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3174 м2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 м2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 w:rsidR="0041793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мат. школа укупно са тереном</w:t>
            </w:r>
          </w:p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1793F">
              <w:rPr>
                <w:color w:val="000000"/>
                <w:sz w:val="20"/>
                <w:szCs w:val="20"/>
              </w:rPr>
              <w:t>69</w:t>
            </w:r>
          </w:p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ученика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Бабин Поток 460 м2 19 ученика,           Доња Стражава 458 м2, 32 ученика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 ученика ромске националности ИОП 2   24 ученика          </w:t>
            </w:r>
            <w:r>
              <w:rPr>
                <w:color w:val="000000"/>
                <w:sz w:val="20"/>
                <w:szCs w:val="20"/>
              </w:rPr>
              <w:br/>
              <w:t>ИОП 1  32 ученика</w:t>
            </w:r>
          </w:p>
        </w:tc>
      </w:tr>
      <w:tr w:rsidR="003E14C8">
        <w:trPr>
          <w:cantSplit/>
          <w:trHeight w:val="5156"/>
          <w:tblHeader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803E86">
            <w:pPr>
              <w:spacing w:after="0" w:line="240" w:lineRule="auto"/>
              <w:ind w:righ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,,</w:t>
            </w:r>
            <w:r w:rsidR="00EE3262">
              <w:rPr>
                <w:b/>
                <w:color w:val="000000"/>
                <w:sz w:val="20"/>
                <w:szCs w:val="20"/>
              </w:rPr>
              <w:t xml:space="preserve">Милић  </w:t>
            </w:r>
          </w:p>
          <w:p w:rsidR="003E14C8" w:rsidRDefault="00EE3262">
            <w:pPr>
              <w:spacing w:after="0" w:line="240" w:lineRule="auto"/>
              <w:ind w:right="14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Ракић Мирко”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 м2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665 м2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730 м2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4C8" w:rsidRDefault="0041793F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 w:rsidR="00EE3262">
              <w:rPr>
                <w:color w:val="000000"/>
                <w:sz w:val="20"/>
                <w:szCs w:val="20"/>
              </w:rPr>
              <w:t xml:space="preserve"> мат.укупно са тереном </w:t>
            </w:r>
          </w:p>
          <w:p w:rsidR="003E14C8" w:rsidRPr="0041793F" w:rsidRDefault="0041793F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  <w:r w:rsidR="00EE3262">
              <w:rPr>
                <w:color w:val="000000"/>
                <w:sz w:val="20"/>
                <w:szCs w:val="20"/>
              </w:rPr>
              <w:t>  у</w:t>
            </w:r>
            <w:r>
              <w:rPr>
                <w:color w:val="000000"/>
                <w:sz w:val="20"/>
                <w:szCs w:val="20"/>
              </w:rPr>
              <w:t>ченика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Петровац,1863 м2, 79 ученика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Микуловац,125 м2, 2ученика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Бајчинце,110 м2, 2 ученика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Балиновац, 80м2, 5 ученика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Доње Кординце 72 м2,                 6 ученика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ученика ромске националности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ИОП2 3 ученика</w:t>
            </w:r>
          </w:p>
          <w:p w:rsidR="003E14C8" w:rsidRDefault="00EE3262">
            <w:pPr>
              <w:spacing w:before="240" w:after="240" w:line="240" w:lineRule="auto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ИОП1 35 ученика</w:t>
            </w:r>
          </w:p>
        </w:tc>
      </w:tr>
    </w:tbl>
    <w:p w:rsidR="003E14C8" w:rsidRDefault="00EE3262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3E14C8" w:rsidRDefault="00EE3262">
      <w:pPr>
        <w:spacing w:after="160" w:line="240" w:lineRule="auto"/>
        <w:ind w:left="142"/>
        <w:rPr>
          <w:sz w:val="24"/>
          <w:szCs w:val="24"/>
        </w:rPr>
      </w:pPr>
      <w:r>
        <w:rPr>
          <w:b/>
          <w:color w:val="000000"/>
        </w:rPr>
        <w:lastRenderedPageBreak/>
        <w:t>Табела са подацима за остале основне школе на територији града Прокупља</w:t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10530" w:type="dxa"/>
        <w:tblInd w:w="-530" w:type="dxa"/>
        <w:tblLayout w:type="fixed"/>
        <w:tblLook w:val="0400"/>
      </w:tblPr>
      <w:tblGrid>
        <w:gridCol w:w="1481"/>
        <w:gridCol w:w="992"/>
        <w:gridCol w:w="571"/>
        <w:gridCol w:w="1151"/>
        <w:gridCol w:w="793"/>
        <w:gridCol w:w="1126"/>
        <w:gridCol w:w="1021"/>
        <w:gridCol w:w="1235"/>
        <w:gridCol w:w="1080"/>
        <w:gridCol w:w="1080"/>
      </w:tblGrid>
      <w:tr w:rsidR="003E14C8" w:rsidTr="001A0D03">
        <w:trPr>
          <w:cantSplit/>
          <w:tblHeader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Назив основне школе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Површина школског објекта (m</w:t>
            </w:r>
            <w:r>
              <w:rPr>
                <w:color w:val="000000"/>
                <w:sz w:val="13"/>
                <w:szCs w:val="13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Површина дворишта  (m</w:t>
            </w:r>
            <w:r>
              <w:rPr>
                <w:color w:val="000000"/>
                <w:sz w:val="13"/>
                <w:szCs w:val="13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Површина фискултурне сале  (m</w:t>
            </w:r>
            <w:r>
              <w:rPr>
                <w:color w:val="000000"/>
                <w:sz w:val="13"/>
                <w:szCs w:val="13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Број ученика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Укупан број запошљених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Укупан број наставника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Издвојена одељења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Број ученика у издвојеном одељ.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Број ученика из </w:t>
            </w:r>
          </w:p>
          <w:p w:rsidR="003E14C8" w:rsidRDefault="00EE32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осетљивих група</w:t>
            </w:r>
          </w:p>
        </w:tc>
      </w:tr>
      <w:tr w:rsidR="003E14C8" w:rsidTr="001A0D03">
        <w:trPr>
          <w:cantSplit/>
          <w:tblHeader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544EC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,,</w:t>
            </w:r>
            <w:r w:rsidR="00EE3262">
              <w:rPr>
                <w:b/>
                <w:color w:val="000000"/>
              </w:rPr>
              <w:t>Вук Караџић”</w:t>
            </w:r>
            <w:r w:rsidR="00EE3262">
              <w:rPr>
                <w:b/>
                <w:color w:val="000000"/>
              </w:rPr>
              <w:br/>
              <w:t>Житни Поток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          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</w:tr>
      <w:tr w:rsidR="003E14C8" w:rsidTr="001A0D03">
        <w:trPr>
          <w:cantSplit/>
          <w:tblHeader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544EC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,,</w:t>
            </w:r>
            <w:r w:rsidR="00EE3262">
              <w:rPr>
                <w:b/>
                <w:color w:val="000000"/>
              </w:rPr>
              <w:t>Светилав Мирковић Ненад”</w:t>
            </w:r>
            <w:r w:rsidR="00EE3262">
              <w:rPr>
                <w:b/>
                <w:color w:val="000000"/>
              </w:rPr>
              <w:br/>
              <w:t>Мала Плана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3E14C8" w:rsidTr="001A0D03">
        <w:trPr>
          <w:cantSplit/>
          <w:tblHeader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Основна школа за образовање одраслих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Прокупље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273.03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E14C8" w:rsidTr="001A0D03">
        <w:trPr>
          <w:cantSplit/>
          <w:tblHeader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1778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,,</w:t>
            </w:r>
            <w:r w:rsidR="00EE3262">
              <w:rPr>
                <w:b/>
                <w:color w:val="000000"/>
              </w:rPr>
              <w:t>Свети Сава”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Прокупље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6 300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</w:rPr>
      </w:pPr>
    </w:p>
    <w:p w:rsidR="003E14C8" w:rsidRDefault="00EE3262">
      <w:pPr>
        <w:spacing w:after="160" w:line="240" w:lineRule="auto"/>
        <w:ind w:left="1440"/>
        <w:rPr>
          <w:sz w:val="24"/>
          <w:szCs w:val="24"/>
        </w:rPr>
      </w:pPr>
      <w:r>
        <w:rPr>
          <w:b/>
          <w:color w:val="000000"/>
        </w:rPr>
        <w:lastRenderedPageBreak/>
        <w:t>Табела са подацима за Предшколску установу “Невен”</w:t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001" w:type="dxa"/>
        <w:jc w:val="center"/>
        <w:tblLayout w:type="fixed"/>
        <w:tblLook w:val="0400"/>
      </w:tblPr>
      <w:tblGrid>
        <w:gridCol w:w="1881"/>
        <w:gridCol w:w="1255"/>
        <w:gridCol w:w="1683"/>
        <w:gridCol w:w="1046"/>
        <w:gridCol w:w="1576"/>
        <w:gridCol w:w="1181"/>
        <w:gridCol w:w="1379"/>
      </w:tblGrid>
      <w:tr w:rsidR="003E14C8">
        <w:trPr>
          <w:cantSplit/>
          <w:trHeight w:val="1004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ПУ “НЕВЕН”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Површина објекта</w:t>
            </w:r>
            <w:r>
              <w:rPr>
                <w:color w:val="000000"/>
              </w:rPr>
              <w:br/>
              <w:t xml:space="preserve"> (m</w:t>
            </w:r>
            <w:r>
              <w:rPr>
                <w:color w:val="000000"/>
                <w:sz w:val="13"/>
                <w:szCs w:val="13"/>
                <w:vertAlign w:val="superscript"/>
              </w:rPr>
              <w:t>2</w:t>
            </w:r>
            <w:r>
              <w:rPr>
                <w:color w:val="000000"/>
              </w:rPr>
              <w:t>)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Површина дворишта  (m</w:t>
            </w:r>
            <w:r>
              <w:rPr>
                <w:color w:val="000000"/>
                <w:sz w:val="13"/>
                <w:szCs w:val="13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Број уписане деце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Укупан број запошљених радника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Број васпитача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Број деце из осетљивих група</w:t>
            </w:r>
          </w:p>
        </w:tc>
      </w:tr>
      <w:tr w:rsidR="003E14C8">
        <w:trPr>
          <w:cantSplit/>
          <w:trHeight w:val="508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17782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,,</w:t>
            </w:r>
            <w:r w:rsidR="00EE3262">
              <w:rPr>
                <w:b/>
                <w:color w:val="000000"/>
              </w:rPr>
              <w:t>Бамби”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23 +6 (Управа)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3E14C8">
        <w:trPr>
          <w:cantSplit/>
          <w:trHeight w:val="1004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A64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,,</w:t>
            </w:r>
            <w:r w:rsidR="00EE3262">
              <w:rPr>
                <w:b/>
                <w:color w:val="000000"/>
              </w:rPr>
              <w:t>Бисери”</w:t>
            </w:r>
          </w:p>
          <w:p w:rsidR="003E14C8" w:rsidRDefault="00A6496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ОШ ,,Р.П.</w:t>
            </w:r>
            <w:r w:rsidR="00EE3262">
              <w:rPr>
                <w:b/>
                <w:color w:val="000000"/>
              </w:rPr>
              <w:t>Ћићко”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405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19+4 (Стручна служба)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E14C8">
        <w:trPr>
          <w:cantSplit/>
          <w:trHeight w:val="254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C44A56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,,</w:t>
            </w:r>
            <w:r w:rsidR="00EE3262">
              <w:rPr>
                <w:b/>
                <w:color w:val="000000"/>
              </w:rPr>
              <w:t>Радост”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3E14C8">
        <w:trPr>
          <w:cantSplit/>
          <w:trHeight w:val="243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C44A56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,,</w:t>
            </w:r>
            <w:r w:rsidR="00EE3262">
              <w:rPr>
                <w:b/>
                <w:color w:val="000000"/>
              </w:rPr>
              <w:t>Бајка”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2095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3E14C8">
        <w:trPr>
          <w:cantSplit/>
          <w:trHeight w:val="761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Година пред полазак у школу (град)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ОШ,,9.октобар”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ОШ,,Милић Р. Мирко”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240" w:line="240" w:lineRule="auto"/>
              <w:rPr>
                <w:sz w:val="24"/>
                <w:szCs w:val="24"/>
              </w:rPr>
            </w:pP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240" w:line="240" w:lineRule="auto"/>
              <w:rPr>
                <w:sz w:val="24"/>
                <w:szCs w:val="24"/>
              </w:rPr>
            </w:pP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240" w:line="240" w:lineRule="auto"/>
              <w:rPr>
                <w:sz w:val="24"/>
                <w:szCs w:val="24"/>
              </w:rPr>
            </w:pP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240" w:line="240" w:lineRule="auto"/>
              <w:rPr>
                <w:sz w:val="24"/>
                <w:szCs w:val="24"/>
              </w:rPr>
            </w:pP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240" w:line="240" w:lineRule="auto"/>
              <w:rPr>
                <w:sz w:val="24"/>
                <w:szCs w:val="24"/>
              </w:rPr>
            </w:pP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</w:tr>
      <w:tr w:rsidR="003E14C8">
        <w:trPr>
          <w:cantSplit/>
          <w:trHeight w:val="3245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Година пред полазак у школу(терен)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Доња Трнава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Џигољ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Бабин Поток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Стражава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Рељинац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Мала Плана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Бериље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Житни поток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Ћуковац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240" w:line="240" w:lineRule="auto"/>
              <w:rPr>
                <w:sz w:val="24"/>
                <w:szCs w:val="24"/>
              </w:rPr>
            </w:pP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3E14C8">
            <w:pPr>
              <w:spacing w:after="240" w:line="240" w:lineRule="auto"/>
              <w:rPr>
                <w:sz w:val="24"/>
                <w:szCs w:val="24"/>
              </w:rPr>
            </w:pP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  <w:p w:rsidR="003E14C8" w:rsidRDefault="003E14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  <w:p w:rsidR="003E14C8" w:rsidRDefault="00EE326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  <w:p w:rsidR="003E14C8" w:rsidRDefault="00EE3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  <w:p w:rsidR="003E14C8" w:rsidRDefault="003E14C8">
            <w:pPr>
              <w:spacing w:after="240"/>
              <w:rPr>
                <w:sz w:val="24"/>
                <w:szCs w:val="24"/>
              </w:rPr>
            </w:pPr>
          </w:p>
        </w:tc>
      </w:tr>
      <w:tr w:rsidR="003E14C8">
        <w:trPr>
          <w:cantSplit/>
          <w:trHeight w:val="243"/>
          <w:tblHeader/>
          <w:jc w:val="center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Укупно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4697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2143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3E14C8" w:rsidRDefault="003E14C8">
      <w:pPr>
        <w:spacing w:after="0" w:line="240" w:lineRule="auto"/>
        <w:rPr>
          <w:sz w:val="24"/>
          <w:szCs w:val="24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  <w:sz w:val="24"/>
          <w:szCs w:val="24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  <w:sz w:val="24"/>
          <w:szCs w:val="24"/>
        </w:rPr>
      </w:pPr>
    </w:p>
    <w:p w:rsidR="00A176D8" w:rsidRDefault="00A176D8">
      <w:pPr>
        <w:spacing w:after="160" w:line="240" w:lineRule="auto"/>
        <w:ind w:left="1440"/>
        <w:rPr>
          <w:b/>
          <w:color w:val="000000"/>
          <w:sz w:val="24"/>
          <w:szCs w:val="24"/>
        </w:rPr>
      </w:pPr>
    </w:p>
    <w:p w:rsidR="00A176D8" w:rsidRDefault="00EE3262">
      <w:pPr>
        <w:spacing w:after="160" w:line="240" w:lineRule="auto"/>
        <w:ind w:left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9. Методологија израде Акционог плана </w:t>
      </w:r>
    </w:p>
    <w:p w:rsidR="003E14C8" w:rsidRDefault="00EE3262">
      <w:pPr>
        <w:spacing w:after="160" w:line="240" w:lineRule="auto"/>
        <w:ind w:left="14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3E14C8" w:rsidRDefault="00EE3262">
      <w:pPr>
        <w:spacing w:after="16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Током процеса креирања АП организовани су радни састанци и тематске радионице, на којима је дискутовано о тренутном стању у школама у граду, изазовима са којима се школе срећу, интерсекторској сарадњи и могућностима унапређивање уписних политика и пракси. </w:t>
      </w:r>
    </w:p>
    <w:p w:rsidR="003E14C8" w:rsidRDefault="00EE3262">
      <w:pPr>
        <w:spacing w:after="160" w:line="240" w:lineRule="auto"/>
        <w:ind w:firstLine="720"/>
        <w:jc w:val="both"/>
        <w:rPr>
          <w:color w:val="000000"/>
        </w:rPr>
      </w:pPr>
      <w:r>
        <w:rPr>
          <w:color w:val="000000"/>
        </w:rPr>
        <w:t>Као кључни изазови издвојили су се: непостојање прецизних података о деци и породицама, застарео план рејонизације; недовољно информисање и укључивање родитеља у живот и рад школа; непостојање процедура за размену и управљање подацима о деци и породицама. Урађена је анализа снага и слабости које се препознају у локалној самоуправи, а односе се на квалитет образовања, праведне уписне политике и праксу, подршку деци и породицама из осетљивих група, повезивање и сарадњу (уз коришћење технике SWOT анализе). Анализа је представљала полазиште за дефинисање циљева, мера и активности у АП.</w:t>
      </w:r>
    </w:p>
    <w:p w:rsidR="00A176D8" w:rsidRDefault="00A176D8">
      <w:pPr>
        <w:spacing w:after="0" w:line="240" w:lineRule="auto"/>
        <w:rPr>
          <w:b/>
          <w:sz w:val="24"/>
          <w:szCs w:val="24"/>
        </w:rPr>
      </w:pPr>
    </w:p>
    <w:p w:rsidR="003E14C8" w:rsidRDefault="00EE3262">
      <w:pPr>
        <w:spacing w:after="240" w:line="240" w:lineRule="auto"/>
        <w:rPr>
          <w:sz w:val="24"/>
          <w:szCs w:val="24"/>
        </w:rPr>
      </w:pPr>
      <w:r>
        <w:rPr>
          <w:b/>
          <w:color w:val="000000"/>
        </w:rPr>
        <w:t>Прилог: SWOT анализа,</w:t>
      </w:r>
      <w:r>
        <w:rPr>
          <w:color w:val="000000"/>
        </w:rPr>
        <w:t xml:space="preserve"> Прокупље, 26.05.2021.</w:t>
      </w:r>
    </w:p>
    <w:tbl>
      <w:tblPr>
        <w:tblStyle w:val="a4"/>
        <w:tblW w:w="10180" w:type="dxa"/>
        <w:tblLayout w:type="fixed"/>
        <w:tblLook w:val="0400"/>
      </w:tblPr>
      <w:tblGrid>
        <w:gridCol w:w="5320"/>
        <w:gridCol w:w="4860"/>
      </w:tblGrid>
      <w:tr w:rsidR="003E14C8">
        <w:trPr>
          <w:cantSplit/>
          <w:tblHeader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9900"/>
              </w:rPr>
              <w:t>СНАГЕ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after="0"/>
              <w:ind w:left="1440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9900"/>
              </w:rPr>
              <w:t>СЛАБОСТИ</w:t>
            </w:r>
          </w:p>
        </w:tc>
      </w:tr>
      <w:tr w:rsidR="003E14C8">
        <w:trPr>
          <w:cantSplit/>
          <w:tblHeader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Акт о Мрежи  школа </w:t>
            </w:r>
          </w:p>
          <w:p w:rsidR="003E14C8" w:rsidRDefault="00EE3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стручан кадар у образовно васпитним установама</w:t>
            </w:r>
          </w:p>
          <w:p w:rsidR="003E14C8" w:rsidRDefault="00EE3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подршка локалне самоуправе</w:t>
            </w:r>
          </w:p>
          <w:p w:rsidR="003E14C8" w:rsidRDefault="00EE3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сарадња са установама и појединцима (Музеј, Предшколска установа, Дом здравља, Дом културе, Полицијска управа, Центар за социјални рад, Школска управа,  војска, Тим за инклузију Рома, педагошки асистенти</w:t>
            </w:r>
          </w:p>
          <w:p w:rsidR="003E14C8" w:rsidRDefault="00EE3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обезбеђивање  бесплатних уџбеника, прибора</w:t>
            </w:r>
          </w:p>
          <w:p w:rsidR="003E14C8" w:rsidRDefault="00EE3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обезбеђивање бесплатна ужина</w:t>
            </w:r>
          </w:p>
          <w:p w:rsidR="003E14C8" w:rsidRDefault="00EE3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награђивање ученика из осeтљивих група (летовање, екскурзије…)</w:t>
            </w:r>
          </w:p>
          <w:p w:rsidR="003E14C8" w:rsidRDefault="003E14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непостојање базе података о деци </w:t>
            </w:r>
          </w:p>
          <w:p w:rsidR="003E14C8" w:rsidRDefault="00EE32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низак социо-економски положај (сиромаштво, низак образовни ниво…)</w:t>
            </w:r>
          </w:p>
          <w:p w:rsidR="003E14C8" w:rsidRDefault="00EE32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неспремност за сарадњу појединих родитеља</w:t>
            </w:r>
          </w:p>
          <w:p w:rsidR="003E14C8" w:rsidRDefault="003E14C8">
            <w:pPr>
              <w:spacing w:after="0"/>
              <w:rPr>
                <w:sz w:val="24"/>
                <w:szCs w:val="24"/>
              </w:rPr>
            </w:pPr>
          </w:p>
        </w:tc>
      </w:tr>
      <w:tr w:rsidR="003E14C8">
        <w:trPr>
          <w:cantSplit/>
          <w:trHeight w:val="2013"/>
          <w:tblHeader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yellow"/>
              </w:rPr>
              <w:t>МОГУЋНОСТИ</w:t>
            </w:r>
          </w:p>
          <w:p w:rsidR="003E14C8" w:rsidRDefault="00EE32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правни оквири</w:t>
            </w:r>
          </w:p>
          <w:p w:rsidR="003E14C8" w:rsidRDefault="00EE32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учешће у локалном Тиму за развој образовања (Тим за квалитет образовања)</w:t>
            </w:r>
          </w:p>
          <w:p w:rsidR="003E14C8" w:rsidRDefault="00EE32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дуално образовање - нови смерови</w:t>
            </w:r>
          </w:p>
          <w:p w:rsidR="003E14C8" w:rsidRDefault="00EE32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обезбеђивање стипендија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C8" w:rsidRDefault="00EE3262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yellow"/>
              </w:rPr>
              <w:t>ПРЕТЊЕ</w:t>
            </w:r>
          </w:p>
          <w:p w:rsidR="003E14C8" w:rsidRDefault="00EE32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миграције</w:t>
            </w:r>
          </w:p>
          <w:p w:rsidR="003E14C8" w:rsidRDefault="00EE32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предрасуде</w:t>
            </w:r>
          </w:p>
          <w:p w:rsidR="003E14C8" w:rsidRDefault="00EE32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ризик од сегрегације</w:t>
            </w:r>
          </w:p>
          <w:p w:rsidR="003E14C8" w:rsidRDefault="003E14C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E14C8" w:rsidRDefault="003E14C8">
      <w:pPr>
        <w:spacing w:after="240" w:line="240" w:lineRule="auto"/>
        <w:rPr>
          <w:sz w:val="24"/>
          <w:szCs w:val="24"/>
        </w:rPr>
      </w:pPr>
    </w:p>
    <w:p w:rsidR="00796015" w:rsidRPr="00796015" w:rsidRDefault="00796015" w:rsidP="00796015">
      <w:pPr>
        <w:pStyle w:val="ListParagraph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/>
        </w:rPr>
        <w:t xml:space="preserve">11.  </w:t>
      </w:r>
      <w:r w:rsidR="00EE3262" w:rsidRPr="00796015">
        <w:rPr>
          <w:b/>
          <w:color w:val="000000"/>
          <w:sz w:val="24"/>
          <w:szCs w:val="24"/>
        </w:rPr>
        <w:t>Имплементација и праћење</w:t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796015" w:rsidRDefault="00796015">
      <w:pPr>
        <w:spacing w:after="160" w:line="240" w:lineRule="auto"/>
        <w:ind w:firstLine="720"/>
        <w:jc w:val="both"/>
        <w:rPr>
          <w:color w:val="000000"/>
        </w:rPr>
      </w:pPr>
    </w:p>
    <w:p w:rsidR="003E14C8" w:rsidRDefault="00EE3262">
      <w:pPr>
        <w:spacing w:after="16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>Локални пројектни тим, Одсек за образовање и културу при Одељењу за друштвену делатност и остали учесници пратe имплементацију Акционог плана.</w:t>
      </w: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Default="003E14C8">
      <w:pPr>
        <w:spacing w:after="0" w:line="240" w:lineRule="auto"/>
        <w:rPr>
          <w:sz w:val="24"/>
          <w:szCs w:val="24"/>
        </w:rPr>
      </w:pPr>
    </w:p>
    <w:p w:rsidR="003E14C8" w:rsidRPr="00B214CC" w:rsidRDefault="003E14C8">
      <w:pPr>
        <w:spacing w:after="0" w:line="240" w:lineRule="auto"/>
        <w:rPr>
          <w:sz w:val="24"/>
          <w:szCs w:val="24"/>
        </w:rPr>
        <w:sectPr w:rsidR="003E14C8" w:rsidRPr="00B214CC">
          <w:footerReference w:type="default" r:id="rId9"/>
          <w:pgSz w:w="12240" w:h="15840"/>
          <w:pgMar w:top="1350" w:right="1440" w:bottom="1440" w:left="1440" w:header="708" w:footer="708" w:gutter="0"/>
          <w:pgNumType w:start="1"/>
          <w:cols w:space="720"/>
        </w:sectPr>
      </w:pPr>
    </w:p>
    <w:p w:rsidR="003E14C8" w:rsidRDefault="00EE32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АКЦИОНИ ПЛАН ПРОКУПЉЕ </w:t>
      </w:r>
    </w:p>
    <w:p w:rsidR="00B214CC" w:rsidRPr="00B214CC" w:rsidRDefault="00B214CC" w:rsidP="00B214C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ОПШТИ ЦИЉ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Обезбедити инклузивно и праведно квалитетно образовање</w:t>
      </w:r>
      <w:r w:rsidR="00530B2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 промовисати могућност целоживотног учења за све</w:t>
      </w:r>
    </w:p>
    <w:tbl>
      <w:tblPr>
        <w:tblStyle w:val="a5"/>
        <w:tblW w:w="13453" w:type="dxa"/>
        <w:tblLayout w:type="fixed"/>
        <w:tblLook w:val="0400"/>
      </w:tblPr>
      <w:tblGrid>
        <w:gridCol w:w="2619"/>
        <w:gridCol w:w="4703"/>
        <w:gridCol w:w="2392"/>
        <w:gridCol w:w="1723"/>
        <w:gridCol w:w="2016"/>
      </w:tblGrid>
      <w:tr w:rsidR="003E14C8">
        <w:trPr>
          <w:cantSplit/>
          <w:trHeight w:val="647"/>
          <w:tblHeader/>
        </w:trPr>
        <w:tc>
          <w:tcPr>
            <w:tcW w:w="1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rPr>
                <w:b/>
              </w:rPr>
            </w:pPr>
            <w:r>
              <w:rPr>
                <w:b/>
                <w:color w:val="404040"/>
              </w:rPr>
              <w:t>ПОСЕБНИ ЦИЉ 1: РАЗВИТИ ПРОЦЕДУРЕ ЗА ПРАВЕДАН УПИС УЧЕНИКА/ИЦА У ОСНОВНИМ ШКОЛАМА И ОСИГУРАТИ ЊИХОВУ ПРИМЕНУ</w:t>
            </w:r>
          </w:p>
        </w:tc>
      </w:tr>
      <w:tr w:rsidR="003E14C8">
        <w:trPr>
          <w:cantSplit/>
          <w:trHeight w:val="1073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МЕРЕ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ind w:left="1440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ind w:left="1440"/>
              <w:rPr>
                <w:b/>
              </w:rPr>
            </w:pPr>
            <w:r>
              <w:rPr>
                <w:b/>
                <w:color w:val="404040"/>
              </w:rPr>
              <w:t>АКТИВНОСТИ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УЧЕСНИЦИ/</w:t>
            </w: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ОДГОВОРНЕ ОСОБЕ/</w:t>
            </w: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УСТАНОВЕ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РОК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СРЕДСТВА</w:t>
            </w:r>
          </w:p>
        </w:tc>
      </w:tr>
      <w:tr w:rsidR="003E14C8">
        <w:trPr>
          <w:cantSplit/>
          <w:trHeight w:val="2998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t>Мера 1.1.</w:t>
            </w:r>
          </w:p>
          <w:p w:rsidR="003E14C8" w:rsidRDefault="00EE3262">
            <w:r>
              <w:t>Формирање и ажурирање базе података о деци/ученицима на територији града Прокупља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1.1.1.Делегирање особа из институција/установа задужених за прикупљање и  унос података у базу</w:t>
            </w:r>
          </w:p>
          <w:p w:rsidR="003E14C8" w:rsidRDefault="00EE3262">
            <w:r>
              <w:t xml:space="preserve">1.1.2. Формирање базе на основу информација из различитих извора </w:t>
            </w:r>
          </w:p>
          <w:p w:rsidR="003E14C8" w:rsidRDefault="00EE3262">
            <w:r>
              <w:t>1.1.3.Израда инструмената/програма за јединствену базу података о деци</w:t>
            </w:r>
          </w:p>
          <w:p w:rsidR="003E14C8" w:rsidRDefault="00EE3262">
            <w:r>
              <w:t>1.1.4.Континуирано ажурирање базе у складу са подацима на терену.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Представници установа: Локална самоуправа, Градска управа, у сарадњи са  матичном службом; Предшколска установа; Дом  здравља, месне заједнице, школа</w:t>
            </w:r>
          </w:p>
          <w:p w:rsidR="003E14C8" w:rsidRDefault="00EE3262">
            <w:r>
              <w:t>Тим за квалитет образовања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Јануар 2023.</w:t>
            </w:r>
          </w:p>
          <w:p w:rsidR="003E14C8" w:rsidRDefault="003E14C8"/>
          <w:p w:rsidR="003E14C8" w:rsidRDefault="00EE3262">
            <w:r>
              <w:t>Током 2023-24 године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Средства за организовање састанака обезбеђена кроз пројекат Партнерство за праведно квалитетено образовање</w:t>
            </w:r>
          </w:p>
        </w:tc>
      </w:tr>
      <w:tr w:rsidR="003E14C8">
        <w:trPr>
          <w:cantSplit/>
          <w:trHeight w:val="531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lastRenderedPageBreak/>
              <w:t>Мера 1.2.</w:t>
            </w:r>
          </w:p>
          <w:p w:rsidR="003E14C8" w:rsidRDefault="00EE3262">
            <w:r>
              <w:t xml:space="preserve">Израда флексибилног  Плана рејонизације  -  одређивање територијалне припадности школa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1.2.1. Мапирање деце и породица са територије града  и одређивање подручја/региона која припадају одређеној школи/установи</w:t>
            </w:r>
          </w:p>
          <w:p w:rsidR="003E14C8" w:rsidRDefault="00EE3262">
            <w:r>
              <w:t>1.2.2. Праћење имплементације  Одлуке о флексибилном  (петогодишњем) плану рејонизације  који се ажурира на годишњем нивоу на основу трендова (природног прираштаја, депопулације, миграција, новоградње итд)</w:t>
            </w:r>
          </w:p>
          <w:p w:rsidR="003E14C8" w:rsidRDefault="00EE3262">
            <w:r>
              <w:t>1.2.3. Анализа и пројекција броја ученика у односу на ресурсе и просторне капацитете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Градска управа, Дом здравља, ЈЛС, месне заједнице</w:t>
            </w:r>
          </w:p>
          <w:p w:rsidR="003E14C8" w:rsidRDefault="00EE3262">
            <w:r>
              <w:t xml:space="preserve">Тим за квалитет образовања </w:t>
            </w:r>
          </w:p>
          <w:p w:rsidR="003E14C8" w:rsidRDefault="00EE3262">
            <w:r>
              <w:t>Мобилни тим </w:t>
            </w:r>
          </w:p>
          <w:p w:rsidR="003E14C8" w:rsidRDefault="003E14C8"/>
          <w:p w:rsidR="003E14C8" w:rsidRDefault="00EE3262">
            <w:r>
              <w:t>Радна група за израду плана рејонизацију</w:t>
            </w:r>
          </w:p>
          <w:p w:rsidR="003E14C8" w:rsidRDefault="003E14C8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У периоду септембар-новембар 2023. и 2024.год.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/>
        </w:tc>
      </w:tr>
      <w:tr w:rsidR="003E14C8">
        <w:trPr>
          <w:cantSplit/>
          <w:trHeight w:val="964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t>Мера 1.3.</w:t>
            </w:r>
          </w:p>
          <w:p w:rsidR="003E14C8" w:rsidRDefault="00EE3262">
            <w:r>
              <w:t>Информисање свих релевантних актера о процедурама за праведан упис ученика/ца у основну школу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1.3.1. Упознавање родитеља и шире јавности са планом рејонизације кроз сајт града и школа, лифлете, плакате, медијску промоцију</w:t>
            </w:r>
          </w:p>
          <w:p w:rsidR="003E14C8" w:rsidRDefault="00EE3262">
            <w:r>
              <w:t>1.3.2. Информисати све родитеље о процедурама уписа у први разред  кроз коришћење свих ресурса у граду (План рејонизације, процедуре за упис; пријава; лекарски преглед, тестирања)</w:t>
            </w:r>
          </w:p>
          <w:p w:rsidR="003E14C8" w:rsidRDefault="00EE3262">
            <w:r>
              <w:t>1.3.3. Упућивање званичних позива родитељима за упис деце у први разред у школе на основу Плана рејонизације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ЈЛС</w:t>
            </w:r>
          </w:p>
          <w:p w:rsidR="003E14C8" w:rsidRDefault="00EE3262">
            <w:r>
              <w:t> </w:t>
            </w:r>
          </w:p>
          <w:p w:rsidR="003E14C8" w:rsidRDefault="003E14C8"/>
          <w:p w:rsidR="003E14C8" w:rsidRDefault="00EE3262">
            <w:r>
              <w:t>Тим за квалитет образовања</w:t>
            </w:r>
          </w:p>
          <w:p w:rsidR="003E14C8" w:rsidRDefault="003E14C8"/>
          <w:p w:rsidR="003E14C8" w:rsidRDefault="00EE3262">
            <w:r>
              <w:t>Основне школе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Први квартал   2023. и 2024. године</w:t>
            </w:r>
          </w:p>
          <w:p w:rsidR="003E14C8" w:rsidRDefault="003E14C8"/>
          <w:p w:rsidR="003E14C8" w:rsidRDefault="00EE3262">
            <w:r>
              <w:t xml:space="preserve">Континуирано </w:t>
            </w:r>
          </w:p>
          <w:p w:rsidR="003E14C8" w:rsidRDefault="003E14C8"/>
          <w:p w:rsidR="003E14C8" w:rsidRDefault="00EE3262">
            <w:r>
              <w:t>Други квартал 2023. и 2024.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70.000 дин.</w:t>
            </w:r>
          </w:p>
        </w:tc>
      </w:tr>
      <w:tr w:rsidR="003E14C8">
        <w:trPr>
          <w:cantSplit/>
          <w:trHeight w:val="728"/>
          <w:tblHeader/>
        </w:trPr>
        <w:tc>
          <w:tcPr>
            <w:tcW w:w="1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rPr>
                <w:b/>
              </w:rPr>
            </w:pPr>
            <w:r>
              <w:rPr>
                <w:b/>
              </w:rPr>
              <w:t>ПОКАЗАТЕЉ УЧИНКА:  Формирана база података која се периодичмо ажурира; усвојен План рејонизације; родитељи информисани о Плану рејонизације и процедурама за упис у школу; План се примењује у пракси</w:t>
            </w:r>
          </w:p>
          <w:p w:rsidR="003E14C8" w:rsidRDefault="003E14C8"/>
        </w:tc>
      </w:tr>
      <w:tr w:rsidR="003E14C8">
        <w:trPr>
          <w:cantSplit/>
          <w:trHeight w:val="476"/>
          <w:tblHeader/>
        </w:trPr>
        <w:tc>
          <w:tcPr>
            <w:tcW w:w="1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rPr>
                <w:b/>
              </w:rPr>
            </w:pPr>
            <w:r>
              <w:rPr>
                <w:b/>
              </w:rPr>
              <w:lastRenderedPageBreak/>
              <w:t>ПОСЕБНИ ЦИЉ 2: ОБЕЗБЕДИТИ ПОДРШКУ УЧЕНИЦИМА/АЦАМА ЗА ШКОЛОВАЊЕ И РАЗВИЈАЊЕ КЉУЧНИХ КОМПЕТЕНЦИЈА ЗА ЦЕЛОЖИВОТНО УЧЕЊЕ</w:t>
            </w:r>
          </w:p>
        </w:tc>
      </w:tr>
      <w:tr w:rsidR="003E14C8">
        <w:trPr>
          <w:cantSplit/>
          <w:trHeight w:val="1330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</w:pPr>
            <w:r>
              <w:rPr>
                <w:b/>
                <w:color w:val="404040"/>
              </w:rPr>
              <w:t>МЕРЕ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ind w:left="1440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ind w:left="1440"/>
              <w:jc w:val="center"/>
            </w:pPr>
            <w:r>
              <w:rPr>
                <w:b/>
                <w:color w:val="404040"/>
              </w:rPr>
              <w:t>АКТИВНОСТИ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УЧЕСНИЦИ/</w:t>
            </w: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ОДГОВОРНЕ ОСОБЕ/</w:t>
            </w:r>
          </w:p>
          <w:p w:rsidR="003E14C8" w:rsidRDefault="00EE3262">
            <w:pPr>
              <w:spacing w:before="106" w:after="0" w:line="240" w:lineRule="auto"/>
              <w:jc w:val="center"/>
            </w:pPr>
            <w:r>
              <w:rPr>
                <w:b/>
                <w:color w:val="404040"/>
              </w:rPr>
              <w:t>УСТАНОВЕ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</w:pPr>
            <w:r>
              <w:rPr>
                <w:b/>
                <w:color w:val="404040"/>
              </w:rPr>
              <w:t>РОК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</w:pPr>
            <w:r>
              <w:rPr>
                <w:b/>
                <w:color w:val="404040"/>
              </w:rPr>
              <w:t>СРЕДСТВА</w:t>
            </w:r>
          </w:p>
        </w:tc>
      </w:tr>
      <w:tr w:rsidR="003E14C8">
        <w:trPr>
          <w:cantSplit/>
          <w:trHeight w:val="951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t>Мера 2.2. </w:t>
            </w:r>
            <w:r>
              <w:t>Подршка личном и социјалном развоју ученика кроз организацију активности на нивоу школа и локалне заједнице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2.2.1. Организовање заједничких активности/радионица/акција у којима ће учествовати деца и родитељи из свих основних школа, уз укључивање деце и родитеља из осетљивих група</w:t>
            </w:r>
          </w:p>
          <w:p w:rsidR="003E14C8" w:rsidRDefault="00EE3262">
            <w:r>
              <w:t>2.2.2. Оснаживање и повезивање ученичких парламената кроз заједничке акције, едукације и  радионице.</w:t>
            </w:r>
          </w:p>
          <w:p w:rsidR="003E14C8" w:rsidRDefault="003E14C8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Школе и предшколска установа</w:t>
            </w:r>
          </w:p>
          <w:p w:rsidR="003E14C8" w:rsidRDefault="003E14C8"/>
          <w:p w:rsidR="003E14C8" w:rsidRDefault="00EE3262">
            <w:r>
              <w:t>Ученички парламенти</w:t>
            </w:r>
          </w:p>
          <w:p w:rsidR="003E14C8" w:rsidRDefault="00EE3262">
            <w:r>
              <w:t>Школе</w:t>
            </w:r>
          </w:p>
          <w:p w:rsidR="003E14C8" w:rsidRDefault="003E14C8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 xml:space="preserve">        2023.год.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 xml:space="preserve">За 2022. 2023. и 2024 годину планирано је по 300.000,00 за органозовање заједничких акција  кроз пројекат Партнерство за праведно и квалитетено образовање. </w:t>
            </w:r>
          </w:p>
        </w:tc>
      </w:tr>
      <w:tr w:rsidR="003E14C8">
        <w:trPr>
          <w:cantSplit/>
          <w:trHeight w:val="50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t xml:space="preserve">Мера 2.3: </w:t>
            </w:r>
            <w:r>
              <w:t>Унапређивање компетенција запослених  у установама/институцијама и организацијама на локалном нивоу за подршку деци/ученицима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2.3.1. Организовање обука за запослене, представнике ТИО тимова школа и ПУ за инклузивно образовање, уз подршку саветника спољних сарадника и запослених из Основне школе „Свети Сава“</w:t>
            </w:r>
          </w:p>
          <w:p w:rsidR="003E14C8" w:rsidRDefault="00EE3262">
            <w:r>
              <w:t>2.3.2. Унапређивање дигиталних компетенција наставника кроз  обуку</w:t>
            </w:r>
          </w:p>
          <w:p w:rsidR="003E14C8" w:rsidRDefault="00EE3262">
            <w:r>
              <w:t>2.3.3. Унапређивање комуникацијских вештина и вештина за рад са родитељима кроз семинаре.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Школе</w:t>
            </w:r>
          </w:p>
          <w:p w:rsidR="003E14C8" w:rsidRDefault="003E14C8"/>
          <w:p w:rsidR="003E14C8" w:rsidRDefault="003E14C8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Континуирано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 xml:space="preserve">oко 70.000 дин. </w:t>
            </w:r>
          </w:p>
          <w:p w:rsidR="003E14C8" w:rsidRDefault="00EE3262">
            <w:r>
              <w:t>ЈЛС ће буџетом планирати средства за ове активности</w:t>
            </w:r>
          </w:p>
        </w:tc>
      </w:tr>
      <w:tr w:rsidR="003E14C8">
        <w:trPr>
          <w:cantSplit/>
          <w:trHeight w:val="582"/>
          <w:tblHeader/>
        </w:trPr>
        <w:tc>
          <w:tcPr>
            <w:tcW w:w="1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rPr>
                <w:b/>
              </w:rPr>
            </w:pPr>
            <w:r>
              <w:rPr>
                <w:b/>
              </w:rPr>
              <w:lastRenderedPageBreak/>
              <w:t>ПОКАЗАТЕЉ УЧИНКА: Укључено најмање 50% породица из осетљивих група у различите активности на нивоу локалне заједнице; најмање 80% наставника укључено у обуке за унапређивање компетенција у области инклузивног образовања</w:t>
            </w:r>
          </w:p>
          <w:p w:rsidR="003E14C8" w:rsidRDefault="003E14C8"/>
        </w:tc>
      </w:tr>
      <w:tr w:rsidR="003E14C8">
        <w:trPr>
          <w:cantSplit/>
          <w:trHeight w:val="773"/>
          <w:tblHeader/>
        </w:trPr>
        <w:tc>
          <w:tcPr>
            <w:tcW w:w="1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rPr>
                <w:b/>
              </w:rPr>
            </w:pPr>
            <w:r>
              <w:rPr>
                <w:b/>
              </w:rPr>
              <w:t>ПОСЕБНИ ЦИЉ  3: ПРУЖИТИ ПОДРШКУ РОДИТЕЉИМА ЗА ШКОЛОВАЊЕ ДЕЦЕ, РАЗУМЕВАЊЕ ЗНАЧАЈА ДРУШТВЕНЕ И ОБРАЗОВНЕ УКЉУЧЕНОСТИ И ВАЖНОСТИ ЦЕЛОЖИВОТНОГ УЧЕЊА</w:t>
            </w:r>
          </w:p>
        </w:tc>
      </w:tr>
      <w:tr w:rsidR="003E14C8">
        <w:trPr>
          <w:cantSplit/>
          <w:trHeight w:val="441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МЕРЕ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ind w:left="1440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ind w:left="1440"/>
              <w:jc w:val="center"/>
              <w:rPr>
                <w:b/>
              </w:rPr>
            </w:pPr>
            <w:r>
              <w:rPr>
                <w:b/>
                <w:color w:val="404040"/>
              </w:rPr>
              <w:t>АКТИВНОСТИ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УЧЕСНИЦИ/</w:t>
            </w: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ОДГОВОРНЕ ОСОБЕ/УСТАНОВЕ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РОК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3E14C8">
            <w:pPr>
              <w:spacing w:before="106" w:after="0" w:line="240" w:lineRule="auto"/>
              <w:jc w:val="center"/>
              <w:rPr>
                <w:b/>
                <w:color w:val="404040"/>
              </w:rPr>
            </w:pPr>
          </w:p>
          <w:p w:rsidR="003E14C8" w:rsidRDefault="00EE3262">
            <w:pPr>
              <w:spacing w:before="106" w:after="0" w:line="240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СРЕДСТВА</w:t>
            </w:r>
          </w:p>
        </w:tc>
      </w:tr>
      <w:tr w:rsidR="003E14C8">
        <w:trPr>
          <w:cantSplit/>
          <w:trHeight w:val="773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t>Мера 3.1.</w:t>
            </w:r>
          </w:p>
          <w:p w:rsidR="003E14C8" w:rsidRDefault="00EE3262">
            <w:r>
              <w:t>Обезбедити подршку породицама из осетљивих група за образовање деце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 xml:space="preserve">3.1.1. Информисање родитеља о правима и начинима остваривања права  и врстама подршке коју породице могу да добију </w:t>
            </w:r>
          </w:p>
          <w:p w:rsidR="003E14C8" w:rsidRDefault="00EE3262">
            <w:r>
              <w:t>3.1.2. Оснаживање и едукација породица из осетљивих група кроз интерсекторске активности и обуке (ПУ, школа, ЦСР, ДЗ, НВО)</w:t>
            </w:r>
          </w:p>
          <w:p w:rsidR="003E14C8" w:rsidRDefault="00EE3262">
            <w:r>
              <w:t>3.1.3.  Организовање Школе родитељстава</w:t>
            </w:r>
            <w:r>
              <w:rPr>
                <w:b/>
              </w:rPr>
              <w:t xml:space="preserve"> </w:t>
            </w:r>
            <w:r>
              <w:t>коју реализује ПУ „Невен“ у сарадњи са основним школама за 50 родитеља из школа </w:t>
            </w:r>
          </w:p>
          <w:p w:rsidR="003E14C8" w:rsidRDefault="00EE3262">
            <w:r>
              <w:t>3.1.4. Иницирање и организовање  5 хуманитарних акција на нивоу нивоу ПУ, школа и заједнице за помоћ породицама из осетљивих група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ЈЛС, ЦСР, школе, медији, педагошки асистенти, НВО</w:t>
            </w:r>
          </w:p>
          <w:p w:rsidR="003E14C8" w:rsidRDefault="003E14C8"/>
          <w:p w:rsidR="003E14C8" w:rsidRDefault="003E14C8"/>
          <w:p w:rsidR="003E14C8" w:rsidRDefault="00EE3262">
            <w:r>
              <w:t>ПУ „Невен“</w:t>
            </w:r>
          </w:p>
          <w:p w:rsidR="003E14C8" w:rsidRDefault="003E14C8"/>
          <w:p w:rsidR="003E14C8" w:rsidRDefault="00EE3262">
            <w:r>
              <w:t>ПУ „Невен“ и школе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Први квартал 2023.</w:t>
            </w:r>
          </w:p>
          <w:p w:rsidR="003E14C8" w:rsidRDefault="00EE3262">
            <w:r>
              <w:t xml:space="preserve">Континуирано </w:t>
            </w:r>
          </w:p>
          <w:p w:rsidR="003E14C8" w:rsidRDefault="003E14C8"/>
          <w:p w:rsidR="003E14C8" w:rsidRDefault="00EE3262">
            <w:r>
              <w:t>Други квартал 2023.</w:t>
            </w:r>
          </w:p>
          <w:p w:rsidR="003E14C8" w:rsidRDefault="00EE3262">
            <w:r>
              <w:t>Током 2023. и 2024. године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Око 50.000 дин.</w:t>
            </w:r>
          </w:p>
        </w:tc>
      </w:tr>
      <w:tr w:rsidR="003E14C8">
        <w:trPr>
          <w:cantSplit/>
          <w:trHeight w:val="620"/>
          <w:tblHeader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lastRenderedPageBreak/>
              <w:t>Мера 3.2.</w:t>
            </w:r>
          </w:p>
          <w:p w:rsidR="003E14C8" w:rsidRDefault="00EE3262">
            <w:r>
              <w:t xml:space="preserve">Оснаживање  родитеља/наставника за подршку деци/ученицима у току школовања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 xml:space="preserve">3.2.1. Оснаживање Општинског савета родитеља, подршка њиховом раду, праћење од стране Тима за квалитет </w:t>
            </w:r>
          </w:p>
          <w:p w:rsidR="003E14C8" w:rsidRDefault="00EE3262">
            <w:r>
              <w:t>3.2.2. Организовање панел дискусија са родитељима на тему инклузивног образовања и заштите деце од насиља и дискриминације</w:t>
            </w:r>
          </w:p>
          <w:p w:rsidR="003E14C8" w:rsidRDefault="00EE3262">
            <w:r>
              <w:t>3.2.3.  Планирање и рализовање 2 обуке за наставнике и родитеље на тему превенције раног напуштања школовања и превенције малолетничких бракова, уз подршку саветника, спољних сарадника и просветних саветника Школске управе Ниш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ЦИП Центар </w:t>
            </w:r>
          </w:p>
          <w:p w:rsidR="003E14C8" w:rsidRDefault="00EE3262">
            <w:r>
              <w:t>Тим за квалитет образовања</w:t>
            </w:r>
          </w:p>
          <w:p w:rsidR="003E14C8" w:rsidRDefault="003E14C8"/>
          <w:p w:rsidR="003E14C8" w:rsidRDefault="003E14C8"/>
          <w:p w:rsidR="003E14C8" w:rsidRDefault="00EE3262">
            <w:r>
              <w:t>Саветници спољни сарадници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Организовње  минимум два састанка и две панел дискусије током  током 2023. и 2024.год.</w:t>
            </w:r>
          </w:p>
          <w:p w:rsidR="003E14C8" w:rsidRDefault="00EE3262">
            <w:r>
              <w:t>Трећи квартал</w:t>
            </w:r>
          </w:p>
          <w:p w:rsidR="003E14C8" w:rsidRDefault="00EE3262">
            <w:r>
              <w:t>2023.</w:t>
            </w:r>
          </w:p>
          <w:p w:rsidR="003E14C8" w:rsidRDefault="003E14C8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t>Организовање панел дискусије ће бити подржано средствима у оквиру пројекта Партнерство за праведно и квалитетено образовање</w:t>
            </w:r>
          </w:p>
        </w:tc>
      </w:tr>
      <w:tr w:rsidR="003E14C8">
        <w:trPr>
          <w:cantSplit/>
          <w:trHeight w:val="438"/>
          <w:tblHeader/>
        </w:trPr>
        <w:tc>
          <w:tcPr>
            <w:tcW w:w="1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C8" w:rsidRDefault="00EE3262">
            <w:r>
              <w:rPr>
                <w:b/>
              </w:rPr>
              <w:t>ПОКАЗАТЕЉ УЧИНКА:  Формиран Општински савет родитеља коме је обезбеђена подршка; најмање 50% породица/родитеља ученика из осетљивих група укључено у активности (информисање о остваривању права, учешће у панел дискусијама,  организована Школа родитељства) .</w:t>
            </w:r>
          </w:p>
        </w:tc>
      </w:tr>
    </w:tbl>
    <w:p w:rsidR="003E14C8" w:rsidRDefault="003E14C8">
      <w:pPr>
        <w:spacing w:after="0" w:line="240" w:lineRule="auto"/>
        <w:rPr>
          <w:sz w:val="24"/>
          <w:szCs w:val="24"/>
        </w:rPr>
      </w:pPr>
    </w:p>
    <w:sectPr w:rsidR="003E14C8" w:rsidSect="003E14C8">
      <w:pgSz w:w="15840" w:h="12240" w:orient="landscape"/>
      <w:pgMar w:top="99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AE" w:rsidRDefault="00631FAE" w:rsidP="003E14C8">
      <w:pPr>
        <w:spacing w:after="0" w:line="240" w:lineRule="auto"/>
      </w:pPr>
      <w:r>
        <w:separator/>
      </w:r>
    </w:p>
  </w:endnote>
  <w:endnote w:type="continuationSeparator" w:id="1">
    <w:p w:rsidR="00631FAE" w:rsidRDefault="00631FAE" w:rsidP="003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C8" w:rsidRDefault="009A65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E3262">
      <w:rPr>
        <w:color w:val="000000"/>
      </w:rPr>
      <w:instrText>PAGE</w:instrText>
    </w:r>
    <w:r>
      <w:rPr>
        <w:color w:val="000000"/>
      </w:rPr>
      <w:fldChar w:fldCharType="separate"/>
    </w:r>
    <w:r w:rsidR="003C373C">
      <w:rPr>
        <w:noProof/>
        <w:color w:val="000000"/>
      </w:rPr>
      <w:t>1</w:t>
    </w:r>
    <w:r>
      <w:rPr>
        <w:color w:val="000000"/>
      </w:rPr>
      <w:fldChar w:fldCharType="end"/>
    </w:r>
  </w:p>
  <w:p w:rsidR="003E14C8" w:rsidRDefault="003E1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AE" w:rsidRDefault="00631FAE" w:rsidP="003E14C8">
      <w:pPr>
        <w:spacing w:after="0" w:line="240" w:lineRule="auto"/>
      </w:pPr>
      <w:r>
        <w:separator/>
      </w:r>
    </w:p>
  </w:footnote>
  <w:footnote w:type="continuationSeparator" w:id="1">
    <w:p w:rsidR="00631FAE" w:rsidRDefault="00631FAE" w:rsidP="003E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6F"/>
    <w:multiLevelType w:val="multilevel"/>
    <w:tmpl w:val="318E6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D7F74EA"/>
    <w:multiLevelType w:val="multilevel"/>
    <w:tmpl w:val="EF3683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FE01A7"/>
    <w:multiLevelType w:val="multilevel"/>
    <w:tmpl w:val="1E8A0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480" w:hanging="40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numFmt w:val="bullet"/>
      <w:lvlText w:val="-"/>
      <w:lvlJc w:val="left"/>
      <w:pPr>
        <w:ind w:left="2260" w:hanging="4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9794727"/>
    <w:multiLevelType w:val="multilevel"/>
    <w:tmpl w:val="E0F80BE8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E6362C"/>
    <w:multiLevelType w:val="multilevel"/>
    <w:tmpl w:val="DFA07838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6B0086"/>
    <w:multiLevelType w:val="multilevel"/>
    <w:tmpl w:val="969682F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3C545F7"/>
    <w:multiLevelType w:val="multilevel"/>
    <w:tmpl w:val="8C563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DAB4CF6"/>
    <w:multiLevelType w:val="multilevel"/>
    <w:tmpl w:val="62C4664C"/>
    <w:lvl w:ilvl="0">
      <w:start w:val="1"/>
      <w:numFmt w:val="bullet"/>
      <w:lvlText w:val="●"/>
      <w:lvlJc w:val="left"/>
      <w:pPr>
        <w:ind w:left="-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-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-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-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EAE3873"/>
    <w:multiLevelType w:val="multilevel"/>
    <w:tmpl w:val="AB64C5B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4C8"/>
    <w:rsid w:val="000119F0"/>
    <w:rsid w:val="00071E70"/>
    <w:rsid w:val="000B055D"/>
    <w:rsid w:val="00177820"/>
    <w:rsid w:val="001A0D03"/>
    <w:rsid w:val="00247889"/>
    <w:rsid w:val="002E7D2C"/>
    <w:rsid w:val="00383D26"/>
    <w:rsid w:val="003C373C"/>
    <w:rsid w:val="003E14C8"/>
    <w:rsid w:val="003F740D"/>
    <w:rsid w:val="00412577"/>
    <w:rsid w:val="0041793F"/>
    <w:rsid w:val="00420B23"/>
    <w:rsid w:val="004B34BF"/>
    <w:rsid w:val="00530B27"/>
    <w:rsid w:val="005407B2"/>
    <w:rsid w:val="00544ECE"/>
    <w:rsid w:val="00607331"/>
    <w:rsid w:val="00631FAE"/>
    <w:rsid w:val="006D382D"/>
    <w:rsid w:val="00796015"/>
    <w:rsid w:val="00803E86"/>
    <w:rsid w:val="0092325E"/>
    <w:rsid w:val="009A65DB"/>
    <w:rsid w:val="009D309B"/>
    <w:rsid w:val="009D3D84"/>
    <w:rsid w:val="00A176D8"/>
    <w:rsid w:val="00A64969"/>
    <w:rsid w:val="00B214CC"/>
    <w:rsid w:val="00B6050D"/>
    <w:rsid w:val="00C15A28"/>
    <w:rsid w:val="00C44A56"/>
    <w:rsid w:val="00CA7E72"/>
    <w:rsid w:val="00D25805"/>
    <w:rsid w:val="00D51D5E"/>
    <w:rsid w:val="00D75817"/>
    <w:rsid w:val="00DC3242"/>
    <w:rsid w:val="00E50793"/>
    <w:rsid w:val="00EA53D2"/>
    <w:rsid w:val="00EC009F"/>
    <w:rsid w:val="00EE3262"/>
    <w:rsid w:val="00F25AA1"/>
    <w:rsid w:val="00FA3D94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D8"/>
  </w:style>
  <w:style w:type="paragraph" w:styleId="Heading1">
    <w:name w:val="heading 1"/>
    <w:basedOn w:val="Normal1"/>
    <w:next w:val="Normal1"/>
    <w:rsid w:val="003E14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E14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E14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E14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E14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E14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14C8"/>
  </w:style>
  <w:style w:type="paragraph" w:styleId="Title">
    <w:name w:val="Title"/>
    <w:basedOn w:val="Normal1"/>
    <w:next w:val="Normal1"/>
    <w:rsid w:val="003E14C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D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FC"/>
  </w:style>
  <w:style w:type="paragraph" w:styleId="Footer">
    <w:name w:val="footer"/>
    <w:basedOn w:val="Normal"/>
    <w:link w:val="FooterChar"/>
    <w:uiPriority w:val="99"/>
    <w:unhideWhenUsed/>
    <w:rsid w:val="002B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FC"/>
  </w:style>
  <w:style w:type="paragraph" w:styleId="Subtitle">
    <w:name w:val="Subtitle"/>
    <w:basedOn w:val="Normal"/>
    <w:next w:val="Normal"/>
    <w:rsid w:val="003E14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4C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3E14C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3E14C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3E14C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3E14C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3E14C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3E14C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Uy9ywR2V8Rm+9JYjHQY6ij6mg==">AMUW2mV2z65TM0lPgjFvoIF0arWF85ldKPqdo9q0UycsvrgLFkx7PsYxV0WdW/k/JQlW6cvRgl2mFJvJwkzJoTsqSwMmvZReHNMX8ODVx+Q6NTLiYNgfxMI=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imilenko</dc:creator>
  <cp:lastModifiedBy>imilenko</cp:lastModifiedBy>
  <cp:revision>2</cp:revision>
  <cp:lastPrinted>2023-03-29T11:27:00Z</cp:lastPrinted>
  <dcterms:created xsi:type="dcterms:W3CDTF">2023-03-29T11:30:00Z</dcterms:created>
  <dcterms:modified xsi:type="dcterms:W3CDTF">2023-03-29T11:30:00Z</dcterms:modified>
</cp:coreProperties>
</file>