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9AD3" w14:textId="12DDF0DE" w:rsidR="00E30233" w:rsidRPr="00E30233" w:rsidRDefault="00F933AC" w:rsidP="00E30233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bookmarkStart w:id="0" w:name="_GoBack"/>
      <w:bookmarkEnd w:id="0"/>
      <w:r w:rsidRPr="00B93D7F">
        <w:rPr>
          <w:szCs w:val="24"/>
          <w:lang w:val="ru-RU"/>
        </w:rPr>
        <w:t xml:space="preserve"> </w:t>
      </w:r>
    </w:p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E30233" w:rsidRPr="008B1D7F" w14:paraId="6812A2D5" w14:textId="77777777" w:rsidTr="005433B3">
        <w:trPr>
          <w:cantSplit/>
          <w:trHeight w:val="990"/>
        </w:trPr>
        <w:tc>
          <w:tcPr>
            <w:tcW w:w="810" w:type="dxa"/>
            <w:vAlign w:val="center"/>
          </w:tcPr>
          <w:p w14:paraId="1DC9561F" w14:textId="77777777" w:rsidR="00E30233" w:rsidRPr="008B1D7F" w:rsidRDefault="00E30233" w:rsidP="005433B3">
            <w:pPr>
              <w:spacing w:after="0" w:line="240" w:lineRule="auto"/>
              <w:ind w:left="-108"/>
              <w:rPr>
                <w:rFonts w:eastAsia="Times New Roman"/>
                <w:b/>
                <w:bCs/>
                <w:iCs/>
                <w:color w:val="FF0000"/>
                <w:sz w:val="22"/>
                <w:lang w:val="en-US"/>
              </w:rPr>
            </w:pPr>
            <w:r>
              <w:rPr>
                <w:rFonts w:eastAsia="Times New Roman"/>
                <w:noProof/>
                <w:szCs w:val="24"/>
                <w:lang w:val="en-GB" w:eastAsia="en-GB"/>
              </w:rPr>
              <w:drawing>
                <wp:inline distT="0" distB="0" distL="0" distR="0" wp14:anchorId="5B0EF11E" wp14:editId="6744EF7A">
                  <wp:extent cx="552450" cy="676275"/>
                  <wp:effectExtent l="0" t="0" r="0" b="9525"/>
                  <wp:docPr id="13" name="Picture 13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4FF995B0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34F06425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УПРАВА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ГРАДА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 xml:space="preserve"> ПРОКУПЉ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А</w:t>
            </w:r>
          </w:p>
          <w:p w14:paraId="053EA5CE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</w:p>
          <w:p w14:paraId="4F6B7274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val="sr-Cyrl-RS"/>
              </w:rPr>
            </w:pP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Никодија Стојановића 2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8B1D7F">
              <w:rPr>
                <w:rFonts w:eastAsia="Times New Roman"/>
                <w:sz w:val="20"/>
                <w:szCs w:val="20"/>
                <w:lang w:val="sr-Cyrl-RS"/>
              </w:rPr>
              <w:t>18400</w:t>
            </w:r>
            <w:r w:rsidRPr="008B1D7F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B1D7F">
              <w:rPr>
                <w:rFonts w:eastAsia="Times New Roman"/>
                <w:iCs/>
                <w:sz w:val="20"/>
                <w:szCs w:val="20"/>
                <w:lang w:val="sr-Cyrl-RS"/>
              </w:rPr>
              <w:t>Прокупље</w:t>
            </w:r>
            <w:r w:rsidRPr="008B1D7F">
              <w:rPr>
                <w:rFonts w:eastAsia="Times New 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Pr="008B1D7F">
                <w:rPr>
                  <w:rFonts w:eastAsia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  <w:r w:rsidRPr="008B1D7F">
              <w:rPr>
                <w:rFonts w:eastAsia="Times New Roman"/>
                <w:bCs/>
                <w:iCs/>
                <w:sz w:val="22"/>
                <w:lang w:val="sr-Latn-RS"/>
              </w:rPr>
              <w:t xml:space="preserve"> </w:t>
            </w:r>
          </w:p>
        </w:tc>
      </w:tr>
    </w:tbl>
    <w:p w14:paraId="2DFDA54A" w14:textId="77777777" w:rsidR="00E30233" w:rsidRDefault="00E30233" w:rsidP="00E30233">
      <w:pPr>
        <w:tabs>
          <w:tab w:val="left" w:pos="1050"/>
        </w:tabs>
        <w:spacing w:after="0" w:line="240" w:lineRule="auto"/>
        <w:rPr>
          <w:szCs w:val="24"/>
          <w:lang w:val="sr-Latn-RS"/>
        </w:rPr>
      </w:pPr>
    </w:p>
    <w:p w14:paraId="76BACE8A" w14:textId="783F6AD0" w:rsidR="00E30233" w:rsidRPr="008B1D7F" w:rsidRDefault="00E30233" w:rsidP="00E30233">
      <w:pPr>
        <w:tabs>
          <w:tab w:val="left" w:pos="105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Број:501-</w:t>
      </w:r>
      <w:r>
        <w:rPr>
          <w:rFonts w:eastAsia="Times New Roman"/>
          <w:szCs w:val="24"/>
          <w:lang w:val="sr-Latn-RS"/>
        </w:rPr>
        <w:t>79</w:t>
      </w:r>
      <w:r>
        <w:rPr>
          <w:rFonts w:eastAsia="Times New Roman"/>
          <w:szCs w:val="24"/>
          <w:lang w:val="sr-Cyrl-RS"/>
        </w:rPr>
        <w:t>/ 20</w:t>
      </w:r>
      <w:r>
        <w:rPr>
          <w:rFonts w:eastAsia="Times New Roman"/>
          <w:szCs w:val="24"/>
          <w:lang w:val="sr-Latn-RS"/>
        </w:rPr>
        <w:t xml:space="preserve">23 </w:t>
      </w:r>
      <w:r w:rsidRPr="008B1D7F">
        <w:rPr>
          <w:rFonts w:eastAsia="Times New Roman"/>
          <w:szCs w:val="24"/>
          <w:lang w:val="sr-Cyrl-RS"/>
        </w:rPr>
        <w:t>-05</w:t>
      </w:r>
    </w:p>
    <w:tbl>
      <w:tblPr>
        <w:tblW w:w="11948" w:type="dxa"/>
        <w:tblLayout w:type="fixed"/>
        <w:tblLook w:val="00A0" w:firstRow="1" w:lastRow="0" w:firstColumn="1" w:lastColumn="0" w:noHBand="0" w:noVBand="0"/>
      </w:tblPr>
      <w:tblGrid>
        <w:gridCol w:w="1384"/>
        <w:gridCol w:w="1384"/>
        <w:gridCol w:w="1384"/>
        <w:gridCol w:w="7796"/>
      </w:tblGrid>
      <w:tr w:rsidR="00E30233" w:rsidRPr="008B1D7F" w14:paraId="67105AEC" w14:textId="77777777" w:rsidTr="005433B3">
        <w:trPr>
          <w:gridAfter w:val="1"/>
          <w:wAfter w:w="7796" w:type="dxa"/>
        </w:trPr>
        <w:tc>
          <w:tcPr>
            <w:tcW w:w="1384" w:type="dxa"/>
          </w:tcPr>
          <w:p w14:paraId="779268FC" w14:textId="77777777" w:rsidR="00E30233" w:rsidRPr="008B1D7F" w:rsidRDefault="00E30233" w:rsidP="005433B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  <w:r w:rsidRPr="008B1D7F"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  <w:t xml:space="preserve">  </w:t>
            </w:r>
          </w:p>
        </w:tc>
        <w:tc>
          <w:tcPr>
            <w:tcW w:w="1384" w:type="dxa"/>
          </w:tcPr>
          <w:p w14:paraId="46D27845" w14:textId="77777777" w:rsidR="00E30233" w:rsidRPr="008B1D7F" w:rsidRDefault="00E30233" w:rsidP="005433B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  <w:tc>
          <w:tcPr>
            <w:tcW w:w="1384" w:type="dxa"/>
          </w:tcPr>
          <w:p w14:paraId="135CB820" w14:textId="77777777" w:rsidR="00E30233" w:rsidRPr="008B1D7F" w:rsidRDefault="00E30233" w:rsidP="005433B3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SimSun" w:hAnsi="Arial" w:cs="Arial"/>
                <w:caps/>
                <w:color w:val="A6A6A6"/>
                <w:sz w:val="20"/>
                <w:szCs w:val="20"/>
                <w:lang w:val="sr-Cyrl-RS" w:eastAsia="ar-SA"/>
              </w:rPr>
            </w:pPr>
          </w:p>
        </w:tc>
      </w:tr>
      <w:tr w:rsidR="00E30233" w:rsidRPr="008B1D7F" w14:paraId="0A01C8BF" w14:textId="77777777" w:rsidTr="005433B3">
        <w:trPr>
          <w:trHeight w:val="249"/>
        </w:trPr>
        <w:tc>
          <w:tcPr>
            <w:tcW w:w="1384" w:type="dxa"/>
          </w:tcPr>
          <w:p w14:paraId="797CEB85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384" w:type="dxa"/>
          </w:tcPr>
          <w:p w14:paraId="48643AB6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482D3973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30233" w:rsidRPr="008B1D7F" w14:paraId="515B4EF7" w14:textId="77777777" w:rsidTr="005433B3">
        <w:tc>
          <w:tcPr>
            <w:tcW w:w="1384" w:type="dxa"/>
          </w:tcPr>
          <w:p w14:paraId="017F044F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1384" w:type="dxa"/>
          </w:tcPr>
          <w:p w14:paraId="00D4F1AB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</w:p>
        </w:tc>
        <w:tc>
          <w:tcPr>
            <w:tcW w:w="9180" w:type="dxa"/>
            <w:gridSpan w:val="2"/>
          </w:tcPr>
          <w:p w14:paraId="0447CB9F" w14:textId="77777777" w:rsidR="00E30233" w:rsidRPr="008B1D7F" w:rsidRDefault="00E30233" w:rsidP="005433B3">
            <w:pPr>
              <w:spacing w:after="0" w:line="240" w:lineRule="auto"/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</w:pPr>
            <w:r w:rsidRPr="008B1D7F">
              <w:rPr>
                <w:rFonts w:eastAsia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36F12DC6" w14:textId="77777777" w:rsidR="00E30233" w:rsidRPr="008B1D7F" w:rsidRDefault="00E30233" w:rsidP="00E30233">
      <w:pPr>
        <w:spacing w:line="240" w:lineRule="auto"/>
        <w:ind w:firstLine="708"/>
        <w:rPr>
          <w:szCs w:val="24"/>
          <w:lang w:val="en-US"/>
        </w:rPr>
      </w:pPr>
      <w:r w:rsidRPr="008B1D7F">
        <w:rPr>
          <w:szCs w:val="24"/>
          <w:lang w:val="sr-Cyrl-CS"/>
        </w:rPr>
        <w:t xml:space="preserve"> Одељење за урбанизам, стамбено-комуналне послове и грађевинарство Општинске управе Општине Прокупље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на основу члана 10.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и члана 29. Закона о процени утицаја на животну средину  („Службени гласник РС“ бр. 135/04 и 36/09) објављује</w:t>
      </w:r>
    </w:p>
    <w:p w14:paraId="5D75CFB5" w14:textId="77777777" w:rsidR="00E30233" w:rsidRPr="008B1D7F" w:rsidRDefault="00E30233" w:rsidP="00E30233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            </w:t>
      </w:r>
      <w:r>
        <w:rPr>
          <w:szCs w:val="24"/>
          <w:lang w:val="sr-Cyrl-CS"/>
        </w:rPr>
        <w:t xml:space="preserve">                            </w:t>
      </w:r>
      <w:r w:rsidRPr="008B1D7F">
        <w:rPr>
          <w:szCs w:val="24"/>
          <w:lang w:val="sr-Cyrl-CS"/>
        </w:rPr>
        <w:t xml:space="preserve">  </w:t>
      </w:r>
      <w:r w:rsidRPr="008B1D7F">
        <w:rPr>
          <w:szCs w:val="24"/>
          <w:lang w:val="sr-Cyrl-RS"/>
        </w:rPr>
        <w:t>ОБАВЕШТЕЊЕ</w:t>
      </w:r>
    </w:p>
    <w:p w14:paraId="0BAE373C" w14:textId="77777777" w:rsidR="00E30233" w:rsidRPr="008B1D7F" w:rsidRDefault="00E30233" w:rsidP="00E30233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RS"/>
        </w:rPr>
        <w:t xml:space="preserve">О </w:t>
      </w:r>
      <w:r w:rsidRPr="008B1D7F">
        <w:rPr>
          <w:szCs w:val="24"/>
          <w:lang w:val="sr-Cyrl-CS"/>
        </w:rPr>
        <w:t xml:space="preserve">ДОНЕТОМ РЕШЕЊУ КОЈИМ ЈЕ УТВРЂЕНО ДА НИЈЕ ПОТРЕБНА ИЗРАДА </w:t>
      </w:r>
    </w:p>
    <w:p w14:paraId="3589C287" w14:textId="77777777" w:rsidR="00E30233" w:rsidRPr="008B1D7F" w:rsidRDefault="00E30233" w:rsidP="00E30233">
      <w:pPr>
        <w:spacing w:after="0"/>
        <w:jc w:val="center"/>
        <w:rPr>
          <w:szCs w:val="24"/>
          <w:lang w:val="sr-Cyrl-CS"/>
        </w:rPr>
      </w:pPr>
      <w:r w:rsidRPr="008B1D7F">
        <w:rPr>
          <w:szCs w:val="24"/>
          <w:lang w:val="sr-Cyrl-CS"/>
        </w:rPr>
        <w:t>СТУДИЈЕ О ПРОЦЕНИ УТИЦАЈА НА ЖИВОТНУ СРЕДИНУ</w:t>
      </w:r>
    </w:p>
    <w:p w14:paraId="00F884B2" w14:textId="77777777" w:rsidR="00E30233" w:rsidRPr="008B1D7F" w:rsidRDefault="00E30233" w:rsidP="00E30233">
      <w:pPr>
        <w:spacing w:after="0"/>
        <w:jc w:val="center"/>
        <w:rPr>
          <w:szCs w:val="24"/>
          <w:lang w:val="sr-Cyrl-CS"/>
        </w:rPr>
      </w:pPr>
    </w:p>
    <w:p w14:paraId="5907575C" w14:textId="09B3554A" w:rsidR="00E30233" w:rsidRPr="008B1D7F" w:rsidRDefault="00E30233" w:rsidP="00E30233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На захтев носиоца пројекта </w:t>
      </w:r>
      <w:r>
        <w:rPr>
          <w:rFonts w:eastAsia="Times New Roman"/>
          <w:lang w:val="sr-Cyrl-RS"/>
        </w:rPr>
        <w:t xml:space="preserve">Ивковић Радисав из Рељинца који је дао у закуп свој пословни пројекат Зекић Саши из Југовца за отварање  Зекић Дестилерије д.о.о  </w:t>
      </w:r>
      <w:r>
        <w:rPr>
          <w:rFonts w:eastAsia="Times New Roman"/>
          <w:lang w:val="sr-Latn-RS"/>
        </w:rPr>
        <w:t>k</w:t>
      </w:r>
      <w:r>
        <w:rPr>
          <w:rFonts w:eastAsia="Times New Roman"/>
          <w:lang w:val="sr-Cyrl-RS"/>
        </w:rPr>
        <w:t xml:space="preserve">оји је </w:t>
      </w:r>
      <w:r>
        <w:rPr>
          <w:rFonts w:eastAsia="Times New Roman"/>
          <w:lang w:val="sr-Cyrl-CS"/>
        </w:rPr>
        <w:t xml:space="preserve">  </w:t>
      </w:r>
      <w:r w:rsidRPr="0096318A">
        <w:rPr>
          <w:rFonts w:eastAsia="Times New Roman"/>
          <w:lang w:val="sr-Cyrl-RS"/>
        </w:rPr>
        <w:t xml:space="preserve">поднео  захтев за одлучивање о потреби процене утицаја </w:t>
      </w:r>
      <w:r>
        <w:rPr>
          <w:rFonts w:eastAsia="Times New Roman"/>
          <w:lang w:val="sr-Cyrl-RS"/>
        </w:rPr>
        <w:t xml:space="preserve"> - </w:t>
      </w:r>
      <w:r w:rsidRPr="0096318A">
        <w:rPr>
          <w:rFonts w:eastAsia="Times New Roman"/>
          <w:lang w:val="sr-Cyrl-RS"/>
        </w:rPr>
        <w:t>П</w:t>
      </w:r>
      <w:r w:rsidRPr="0096318A">
        <w:rPr>
          <w:rFonts w:eastAsia="Times New Roman"/>
          <w:lang w:val="sr-Cyrl-CS"/>
        </w:rPr>
        <w:t xml:space="preserve">ројекта </w:t>
      </w:r>
      <w:r>
        <w:rPr>
          <w:rFonts w:eastAsia="Times New Roman"/>
          <w:lang w:val="sr-Cyrl-CS"/>
        </w:rPr>
        <w:t xml:space="preserve"> дестилерија  алкохолних пића  -</w:t>
      </w:r>
      <w:r>
        <w:rPr>
          <w:rFonts w:eastAsia="Times New Roman"/>
          <w:lang w:val="sr-Cyrl-RS"/>
        </w:rPr>
        <w:t xml:space="preserve"> </w:t>
      </w:r>
      <w:r w:rsidRPr="0096318A">
        <w:rPr>
          <w:rFonts w:eastAsia="Times New Roman"/>
          <w:lang w:val="sr-Cyrl-RS"/>
        </w:rPr>
        <w:t xml:space="preserve"> на кат.парц.</w:t>
      </w:r>
      <w:r w:rsidRPr="0096318A">
        <w:rPr>
          <w:rFonts w:eastAsia="Times New Roman"/>
          <w:lang w:val="sr-Cyrl-CS"/>
        </w:rPr>
        <w:t>бр</w:t>
      </w:r>
      <w:r>
        <w:rPr>
          <w:rFonts w:eastAsia="Times New Roman"/>
          <w:lang w:val="sr-Cyrl-RS"/>
        </w:rPr>
        <w:t xml:space="preserve"> 1838 и 1839  КО Рељинац </w:t>
      </w:r>
      <w:r w:rsidRPr="0096318A">
        <w:rPr>
          <w:rFonts w:eastAsia="Times New Roman"/>
          <w:lang w:val="sr-Cyrl-RS"/>
        </w:rPr>
        <w:t xml:space="preserve">на територији </w:t>
      </w:r>
      <w:r>
        <w:rPr>
          <w:rFonts w:eastAsia="Times New Roman"/>
          <w:lang w:val="sr-Cyrl-RS"/>
        </w:rPr>
        <w:t xml:space="preserve">града </w:t>
      </w:r>
      <w:r w:rsidRPr="0096318A">
        <w:rPr>
          <w:rFonts w:eastAsia="Times New Roman"/>
          <w:lang w:val="sr-Cyrl-CS"/>
        </w:rPr>
        <w:t>Прокупљ</w:t>
      </w:r>
      <w:r>
        <w:rPr>
          <w:rFonts w:eastAsia="Times New Roman"/>
          <w:lang w:val="sr-Cyrl-CS"/>
        </w:rPr>
        <w:t>а</w:t>
      </w:r>
      <w:r w:rsidRPr="0096318A">
        <w:rPr>
          <w:rFonts w:eastAsia="Times New Roman"/>
          <w:lang w:val="sr-Cyrl-CS"/>
        </w:rPr>
        <w:t>.</w:t>
      </w:r>
      <w:r>
        <w:rPr>
          <w:szCs w:val="24"/>
          <w:lang w:val="sr-Cyrl-RS"/>
        </w:rPr>
        <w:t xml:space="preserve">, </w:t>
      </w:r>
      <w:r w:rsidRPr="008B1D7F">
        <w:rPr>
          <w:szCs w:val="24"/>
          <w:lang w:val="sr-Cyrl-CS"/>
        </w:rPr>
        <w:t xml:space="preserve"> Одељење за урбанизам, стамбено-комуналне делатности и грађевинарство </w:t>
      </w:r>
      <w:r>
        <w:rPr>
          <w:szCs w:val="24"/>
          <w:lang w:val="sr-Cyrl-CS"/>
        </w:rPr>
        <w:t xml:space="preserve">Градске </w:t>
      </w:r>
      <w:r w:rsidRPr="008B1D7F">
        <w:rPr>
          <w:szCs w:val="24"/>
          <w:lang w:val="sr-Cyrl-CS"/>
        </w:rPr>
        <w:t xml:space="preserve"> управе </w:t>
      </w:r>
      <w:r>
        <w:rPr>
          <w:szCs w:val="24"/>
          <w:lang w:val="sr-Cyrl-RS"/>
        </w:rPr>
        <w:t xml:space="preserve">Града </w:t>
      </w:r>
      <w:r w:rsidRPr="008B1D7F">
        <w:rPr>
          <w:szCs w:val="24"/>
          <w:lang w:val="sr-Cyrl-CS"/>
        </w:rPr>
        <w:t xml:space="preserve"> Прокупљ</w:t>
      </w:r>
      <w:r>
        <w:rPr>
          <w:szCs w:val="24"/>
          <w:lang w:val="sr-Cyrl-CS"/>
        </w:rPr>
        <w:t xml:space="preserve">а </w:t>
      </w:r>
      <w:r w:rsidRPr="008B1D7F">
        <w:rPr>
          <w:szCs w:val="24"/>
          <w:lang w:val="sr-Cyrl-CS"/>
        </w:rPr>
        <w:t xml:space="preserve"> је у законом предвиђеном року спровело поступак одлучивања и донело Решење да за Пројекат 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 -  </w:t>
      </w:r>
      <w:r>
        <w:rPr>
          <w:rFonts w:eastAsia="Times New Roman"/>
          <w:lang w:val="sr-Cyrl-CS"/>
        </w:rPr>
        <w:t>Дестилерија  алкохолних пића  -</w:t>
      </w:r>
      <w:r>
        <w:rPr>
          <w:rFonts w:eastAsia="Times New Roman"/>
          <w:lang w:val="sr-Cyrl-RS"/>
        </w:rPr>
        <w:t xml:space="preserve"> </w:t>
      </w:r>
      <w:r w:rsidRPr="0096318A">
        <w:rPr>
          <w:rFonts w:eastAsia="Times New Roman"/>
          <w:lang w:val="sr-Cyrl-RS"/>
        </w:rPr>
        <w:t xml:space="preserve"> на кат.парц.</w:t>
      </w:r>
      <w:r w:rsidRPr="0096318A">
        <w:rPr>
          <w:rFonts w:eastAsia="Times New Roman"/>
          <w:lang w:val="sr-Cyrl-CS"/>
        </w:rPr>
        <w:t>бр</w:t>
      </w:r>
      <w:r>
        <w:rPr>
          <w:rFonts w:eastAsia="Times New Roman"/>
          <w:lang w:val="sr-Cyrl-RS"/>
        </w:rPr>
        <w:t xml:space="preserve"> 1838 и 1839  КО Рељинац </w:t>
      </w:r>
      <w:r w:rsidRPr="0096318A">
        <w:rPr>
          <w:rFonts w:eastAsia="Times New Roman"/>
          <w:lang w:val="sr-Cyrl-RS"/>
        </w:rPr>
        <w:t xml:space="preserve">на територији </w:t>
      </w:r>
      <w:r>
        <w:rPr>
          <w:rFonts w:eastAsia="Times New Roman"/>
          <w:lang w:val="sr-Cyrl-RS"/>
        </w:rPr>
        <w:t xml:space="preserve">града </w:t>
      </w:r>
      <w:r w:rsidRPr="0096318A">
        <w:rPr>
          <w:rFonts w:eastAsia="Times New Roman"/>
          <w:lang w:val="sr-Cyrl-CS"/>
        </w:rPr>
        <w:t>Прокупљ</w:t>
      </w:r>
      <w:r>
        <w:rPr>
          <w:rFonts w:eastAsia="Times New Roman"/>
          <w:lang w:val="sr-Cyrl-CS"/>
        </w:rPr>
        <w:t>а</w:t>
      </w:r>
      <w:r>
        <w:rPr>
          <w:szCs w:val="24"/>
          <w:lang w:val="sr-Cyrl-RS"/>
        </w:rPr>
        <w:t xml:space="preserve"> </w:t>
      </w:r>
      <w:r w:rsidRPr="008B1D7F">
        <w:rPr>
          <w:szCs w:val="24"/>
          <w:lang w:val="sr-Cyrl-CS"/>
        </w:rPr>
        <w:t xml:space="preserve"> није потребна израда Студије о процени утицаја</w:t>
      </w:r>
      <w:r w:rsidRPr="008B1D7F">
        <w:rPr>
          <w:szCs w:val="24"/>
          <w:lang w:val="en-US"/>
        </w:rPr>
        <w:t xml:space="preserve"> </w:t>
      </w:r>
      <w:r w:rsidRPr="008B1D7F">
        <w:rPr>
          <w:szCs w:val="24"/>
          <w:lang w:val="sr-Cyrl-CS"/>
        </w:rPr>
        <w:t>пројекта на животну средину.</w:t>
      </w:r>
    </w:p>
    <w:p w14:paraId="09AF5532" w14:textId="77777777" w:rsidR="00E30233" w:rsidRPr="008B1D7F" w:rsidRDefault="00E30233" w:rsidP="00E30233">
      <w:pPr>
        <w:spacing w:after="0"/>
        <w:ind w:firstLine="72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При доношењу одлуке о потреби процене утицаја на животну средину узете су у обзир карактеристике пројекта </w:t>
      </w:r>
      <w:r>
        <w:rPr>
          <w:szCs w:val="24"/>
          <w:lang w:val="sr-Cyrl-CS"/>
        </w:rPr>
        <w:t xml:space="preserve"> </w:t>
      </w:r>
      <w:r w:rsidRPr="008B1D7F">
        <w:rPr>
          <w:szCs w:val="24"/>
          <w:lang w:val="sr-Cyrl-CS"/>
        </w:rPr>
        <w:t xml:space="preserve">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 („Службени гласник РС“; бр. 114/08) </w:t>
      </w:r>
      <w:r>
        <w:rPr>
          <w:szCs w:val="24"/>
          <w:lang w:val="sr-Cyrl-CS"/>
        </w:rPr>
        <w:t xml:space="preserve"> .</w:t>
      </w:r>
    </w:p>
    <w:p w14:paraId="266405E7" w14:textId="77777777" w:rsidR="00E30233" w:rsidRPr="008B1D7F" w:rsidRDefault="00E30233" w:rsidP="00E30233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            Обавештавамо заинтересоване органе, организације и јавност да могу извршити  увид у донето Решење у просторијама овог органа, канцеларија бр. 1</w:t>
      </w:r>
      <w:r>
        <w:rPr>
          <w:szCs w:val="24"/>
          <w:lang w:val="sr-Cyrl-CS"/>
        </w:rPr>
        <w:t>2</w:t>
      </w:r>
      <w:r w:rsidRPr="008B1D7F">
        <w:rPr>
          <w:szCs w:val="24"/>
          <w:lang w:val="sr-Cyrl-CS"/>
        </w:rPr>
        <w:t>, ул</w:t>
      </w:r>
      <w:r w:rsidRPr="008B1D7F">
        <w:rPr>
          <w:szCs w:val="24"/>
          <w:lang w:val="en-US"/>
        </w:rPr>
        <w:t>.</w:t>
      </w:r>
      <w:r w:rsidRPr="008B1D7F">
        <w:rPr>
          <w:szCs w:val="24"/>
          <w:lang w:val="sr-Cyrl-CS"/>
        </w:rPr>
        <w:t xml:space="preserve"> Татков</w:t>
      </w:r>
      <w:r w:rsidRPr="008B1D7F">
        <w:rPr>
          <w:szCs w:val="24"/>
          <w:lang w:val="en-US"/>
        </w:rPr>
        <w:t>a</w:t>
      </w:r>
      <w:r w:rsidRPr="008B1D7F">
        <w:rPr>
          <w:szCs w:val="24"/>
          <w:lang w:val="sr-Cyrl-CS"/>
        </w:rPr>
        <w:t xml:space="preserve"> бр. 2</w:t>
      </w:r>
      <w:r w:rsidRPr="008B1D7F">
        <w:rPr>
          <w:szCs w:val="24"/>
          <w:lang w:val="en-US"/>
        </w:rPr>
        <w:t>,</w:t>
      </w:r>
      <w:r w:rsidRPr="008B1D7F">
        <w:rPr>
          <w:szCs w:val="24"/>
          <w:lang w:val="sr-Cyrl-CS"/>
        </w:rPr>
        <w:t xml:space="preserve"> сваког радног дана у времену од 11.00 до 14.00 часова,   у року од 10 дана од дана објављивања овог  обавештења.</w:t>
      </w:r>
    </w:p>
    <w:p w14:paraId="6643453C" w14:textId="77777777" w:rsidR="00E30233" w:rsidRPr="008B1D7F" w:rsidRDefault="00E30233" w:rsidP="00E30233">
      <w:pPr>
        <w:spacing w:after="0"/>
        <w:jc w:val="both"/>
        <w:rPr>
          <w:szCs w:val="24"/>
          <w:lang w:val="sr-Cyrl-CS"/>
        </w:rPr>
      </w:pPr>
      <w:r w:rsidRPr="008B1D7F">
        <w:rPr>
          <w:szCs w:val="24"/>
          <w:lang w:val="sr-Cyrl-CS"/>
        </w:rPr>
        <w:t xml:space="preserve"> Достављено:</w:t>
      </w:r>
    </w:p>
    <w:p w14:paraId="3DC3F23A" w14:textId="77777777" w:rsidR="00E30233" w:rsidRPr="008B1D7F" w:rsidRDefault="00E30233" w:rsidP="00E30233">
      <w:pPr>
        <w:tabs>
          <w:tab w:val="left" w:pos="2280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-огласна табла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  <w:r w:rsidRPr="008B1D7F">
        <w:rPr>
          <w:rFonts w:eastAsia="Times New Roman"/>
          <w:szCs w:val="24"/>
          <w:lang w:val="sr-Cyrl-RS"/>
        </w:rPr>
        <w:tab/>
      </w:r>
    </w:p>
    <w:p w14:paraId="21307656" w14:textId="77777777" w:rsidR="00E30233" w:rsidRPr="008B1D7F" w:rsidRDefault="00E30233" w:rsidP="00E30233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 xml:space="preserve">- сајт </w:t>
      </w:r>
      <w:r>
        <w:rPr>
          <w:rFonts w:eastAsia="Times New Roman"/>
          <w:szCs w:val="24"/>
          <w:lang w:val="sr-Cyrl-RS"/>
        </w:rPr>
        <w:t xml:space="preserve">Града </w:t>
      </w:r>
      <w:r w:rsidRPr="008B1D7F">
        <w:rPr>
          <w:rFonts w:eastAsia="Times New Roman"/>
          <w:szCs w:val="24"/>
          <w:lang w:val="sr-Cyrl-RS"/>
        </w:rPr>
        <w:t xml:space="preserve"> Прокупљ</w:t>
      </w:r>
      <w:r>
        <w:rPr>
          <w:rFonts w:eastAsia="Times New Roman"/>
          <w:szCs w:val="24"/>
          <w:lang w:val="sr-Cyrl-RS"/>
        </w:rPr>
        <w:t xml:space="preserve">а </w:t>
      </w:r>
    </w:p>
    <w:p w14:paraId="5B387DDC" w14:textId="77777777" w:rsidR="00E30233" w:rsidRPr="008B1D7F" w:rsidRDefault="00E30233" w:rsidP="00E30233">
      <w:pPr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-архиви</w:t>
      </w:r>
    </w:p>
    <w:p w14:paraId="214138BD" w14:textId="77777777" w:rsidR="00E30233" w:rsidRPr="008B1D7F" w:rsidRDefault="00E30233" w:rsidP="00E30233">
      <w:pPr>
        <w:spacing w:after="0" w:line="240" w:lineRule="auto"/>
        <w:rPr>
          <w:rFonts w:eastAsia="Times New Roman"/>
          <w:szCs w:val="24"/>
          <w:lang w:val="sr-Cyrl-RS"/>
        </w:rPr>
      </w:pPr>
    </w:p>
    <w:p w14:paraId="5E2A8001" w14:textId="556C9648" w:rsidR="00E30233" w:rsidRDefault="00E30233" w:rsidP="00E30233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RS"/>
        </w:rPr>
        <w:t>Дана:</w:t>
      </w:r>
      <w:r>
        <w:rPr>
          <w:rFonts w:eastAsia="Times New Roman"/>
          <w:szCs w:val="24"/>
          <w:lang w:val="sr-Cyrl-RS"/>
        </w:rPr>
        <w:t xml:space="preserve">12.09. 2023 </w:t>
      </w:r>
      <w:r w:rsidRPr="008B1D7F">
        <w:rPr>
          <w:rFonts w:eastAsia="Times New Roman"/>
          <w:szCs w:val="24"/>
          <w:lang w:val="sr-Cyrl-RS"/>
        </w:rPr>
        <w:t xml:space="preserve"> год.</w:t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ab/>
      </w:r>
    </w:p>
    <w:p w14:paraId="1F7D7BEF" w14:textId="77777777" w:rsidR="00E30233" w:rsidRDefault="00E30233" w:rsidP="00E30233">
      <w:pPr>
        <w:spacing w:after="0" w:line="240" w:lineRule="auto"/>
        <w:ind w:left="142"/>
        <w:jc w:val="both"/>
        <w:rPr>
          <w:rFonts w:eastAsia="Times New Roman"/>
          <w:szCs w:val="24"/>
          <w:lang w:val="sr-Cyrl-RS"/>
        </w:rPr>
      </w:pPr>
    </w:p>
    <w:p w14:paraId="2C0843F0" w14:textId="77777777" w:rsidR="00E30233" w:rsidRPr="008B1D7F" w:rsidRDefault="00E30233" w:rsidP="00E30233">
      <w:pPr>
        <w:spacing w:after="0" w:line="240" w:lineRule="auto"/>
        <w:ind w:left="4320" w:firstLine="708"/>
        <w:jc w:val="both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>ОБРАЂИВАЧ: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sr-Cyrl-CS"/>
        </w:rPr>
        <w:tab/>
        <w:t xml:space="preserve"> </w:t>
      </w:r>
      <w:r w:rsidRPr="008B1D7F">
        <w:rPr>
          <w:rFonts w:eastAsia="Times New Roman"/>
          <w:szCs w:val="24"/>
          <w:lang w:val="en-US"/>
        </w:rPr>
        <w:t xml:space="preserve">        </w:t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ab/>
      </w:r>
      <w:r w:rsidRPr="008B1D7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 w:val="22"/>
          <w:lang w:val="sr-Cyrl-RS"/>
        </w:rPr>
        <w:t xml:space="preserve">Саветник </w:t>
      </w:r>
      <w:r w:rsidRPr="008B1D7F">
        <w:rPr>
          <w:rFonts w:eastAsia="Times New Roman"/>
          <w:szCs w:val="24"/>
          <w:lang w:val="sr-Cyrl-CS"/>
        </w:rPr>
        <w:t xml:space="preserve"> процене</w:t>
      </w:r>
      <w:r w:rsidRPr="008B1D7F">
        <w:rPr>
          <w:rFonts w:eastAsia="Times New Roman"/>
          <w:szCs w:val="24"/>
          <w:lang w:val="sr-Cyrl-CS"/>
        </w:rPr>
        <w:tab/>
      </w:r>
      <w:r w:rsidRPr="008B1D7F">
        <w:rPr>
          <w:rFonts w:eastAsia="Times New Roman"/>
          <w:szCs w:val="24"/>
          <w:lang w:val="en-US"/>
        </w:rPr>
        <w:t xml:space="preserve">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542305EF" w14:textId="77777777" w:rsidR="00E30233" w:rsidRPr="008B1D7F" w:rsidRDefault="00E30233" w:rsidP="00E30233">
      <w:pPr>
        <w:spacing w:after="0" w:line="240" w:lineRule="auto"/>
        <w:ind w:left="4320" w:firstLine="720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t xml:space="preserve">Утицаја на животнусредину                           </w:t>
      </w:r>
      <w:r w:rsidRPr="008B1D7F">
        <w:rPr>
          <w:rFonts w:eastAsia="Times New Roman"/>
          <w:szCs w:val="24"/>
          <w:lang w:val="sr-Cyrl-RS"/>
        </w:rPr>
        <w:t xml:space="preserve"> </w:t>
      </w:r>
    </w:p>
    <w:p w14:paraId="5EA7810E" w14:textId="77777777" w:rsidR="00E30233" w:rsidRPr="00D96C11" w:rsidRDefault="00E30233" w:rsidP="00E30233">
      <w:pPr>
        <w:tabs>
          <w:tab w:val="left" w:pos="4170"/>
          <w:tab w:val="left" w:pos="4890"/>
          <w:tab w:val="left" w:pos="5805"/>
        </w:tabs>
        <w:spacing w:after="0" w:line="240" w:lineRule="auto"/>
        <w:rPr>
          <w:rFonts w:eastAsia="Times New Roman"/>
          <w:szCs w:val="24"/>
          <w:lang w:val="sr-Cyrl-RS"/>
        </w:rPr>
      </w:pPr>
      <w:r w:rsidRPr="008B1D7F">
        <w:rPr>
          <w:rFonts w:eastAsia="Times New Roman"/>
          <w:szCs w:val="24"/>
          <w:lang w:val="sr-Cyrl-CS"/>
        </w:rPr>
        <w:lastRenderedPageBreak/>
        <w:tab/>
      </w:r>
      <w:r w:rsidRPr="008B1D7F">
        <w:rPr>
          <w:rFonts w:eastAsia="Times New Roman"/>
          <w:szCs w:val="24"/>
          <w:lang w:val="sr-Cyrl-CS"/>
        </w:rPr>
        <w:tab/>
        <w:t>Дипл.биолог Светлана  Јовићевић</w:t>
      </w:r>
      <w:r w:rsidRPr="00B93D7F">
        <w:rPr>
          <w:szCs w:val="24"/>
          <w:lang w:val="ru-RU"/>
        </w:rPr>
        <w:t xml:space="preserve"> </w:t>
      </w:r>
    </w:p>
    <w:p w14:paraId="429899EA" w14:textId="77777777" w:rsidR="00E30233" w:rsidRPr="0079339B" w:rsidRDefault="00E30233" w:rsidP="0079339B">
      <w:pPr>
        <w:tabs>
          <w:tab w:val="left" w:pos="1245"/>
        </w:tabs>
        <w:rPr>
          <w:szCs w:val="24"/>
          <w:lang w:val="sr-Cyrl-RS"/>
        </w:rPr>
      </w:pPr>
    </w:p>
    <w:sectPr w:rsidR="00E30233" w:rsidRPr="0079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BE070" w14:textId="77777777" w:rsidR="00E238CC" w:rsidRDefault="00E238CC" w:rsidP="00F73A93">
      <w:pPr>
        <w:spacing w:after="0" w:line="240" w:lineRule="auto"/>
      </w:pPr>
      <w:r>
        <w:separator/>
      </w:r>
    </w:p>
  </w:endnote>
  <w:endnote w:type="continuationSeparator" w:id="0">
    <w:p w14:paraId="2B918895" w14:textId="77777777" w:rsidR="00E238CC" w:rsidRDefault="00E238CC" w:rsidP="00F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4694" w14:textId="77777777" w:rsidR="00E238CC" w:rsidRDefault="00E238CC" w:rsidP="00F73A93">
      <w:pPr>
        <w:spacing w:after="0" w:line="240" w:lineRule="auto"/>
      </w:pPr>
      <w:r>
        <w:separator/>
      </w:r>
    </w:p>
  </w:footnote>
  <w:footnote w:type="continuationSeparator" w:id="0">
    <w:p w14:paraId="74D7B554" w14:textId="77777777" w:rsidR="00E238CC" w:rsidRDefault="00E238CC" w:rsidP="00F73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9"/>
    <w:rsid w:val="00054479"/>
    <w:rsid w:val="00211462"/>
    <w:rsid w:val="002367E8"/>
    <w:rsid w:val="003065A5"/>
    <w:rsid w:val="004B7FBA"/>
    <w:rsid w:val="00545C3E"/>
    <w:rsid w:val="00597477"/>
    <w:rsid w:val="005F3706"/>
    <w:rsid w:val="006F1945"/>
    <w:rsid w:val="00705090"/>
    <w:rsid w:val="0079339B"/>
    <w:rsid w:val="0082392A"/>
    <w:rsid w:val="008A7AC4"/>
    <w:rsid w:val="008B1D7F"/>
    <w:rsid w:val="008C3331"/>
    <w:rsid w:val="008C7DC4"/>
    <w:rsid w:val="00911C89"/>
    <w:rsid w:val="00951509"/>
    <w:rsid w:val="00967606"/>
    <w:rsid w:val="009F1988"/>
    <w:rsid w:val="00A1008F"/>
    <w:rsid w:val="00A15BB5"/>
    <w:rsid w:val="00B131F0"/>
    <w:rsid w:val="00B17B8D"/>
    <w:rsid w:val="00B5450E"/>
    <w:rsid w:val="00B80C23"/>
    <w:rsid w:val="00C25F24"/>
    <w:rsid w:val="00C53D86"/>
    <w:rsid w:val="00D4389F"/>
    <w:rsid w:val="00D64475"/>
    <w:rsid w:val="00D96C11"/>
    <w:rsid w:val="00DC671E"/>
    <w:rsid w:val="00DF187A"/>
    <w:rsid w:val="00E238CC"/>
    <w:rsid w:val="00E30233"/>
    <w:rsid w:val="00E9536D"/>
    <w:rsid w:val="00F73A93"/>
    <w:rsid w:val="00F933AC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9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F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3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3"/>
    <w:rPr>
      <w:rFonts w:ascii="Times New Roman" w:eastAsia="Calibri" w:hAnsi="Times New Roman" w:cs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89"/>
    <w:rPr>
      <w:rFonts w:ascii="Times New Roman" w:eastAsia="Calibri" w:hAnsi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7F"/>
    <w:rPr>
      <w:rFonts w:ascii="Tahoma" w:eastAsia="Calibri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93"/>
    <w:rPr>
      <w:rFonts w:ascii="Times New Roman" w:eastAsia="Calibri" w:hAnsi="Times New Roman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7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93"/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755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kup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CA5B-C5F9-4E3F-8408-4CF15D1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Jovicevic</dc:creator>
  <cp:lastModifiedBy>Zorica Milivojević</cp:lastModifiedBy>
  <cp:revision>22</cp:revision>
  <cp:lastPrinted>2023-09-12T06:18:00Z</cp:lastPrinted>
  <dcterms:created xsi:type="dcterms:W3CDTF">2017-11-03T11:30:00Z</dcterms:created>
  <dcterms:modified xsi:type="dcterms:W3CDTF">2023-09-12T06:53:00Z</dcterms:modified>
</cp:coreProperties>
</file>