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59" w:rsidRDefault="00B25059" w:rsidP="00B25059">
      <w:pPr>
        <w:ind w:firstLine="720"/>
        <w:jc w:val="both"/>
      </w:pPr>
      <w:bookmarkStart w:id="0" w:name="_GoBack"/>
      <w:bookmarkEnd w:id="0"/>
      <w:r w:rsidRPr="00523472">
        <w:t>На основу члана 32. став 1.</w:t>
      </w:r>
      <w:r w:rsidRPr="00523472">
        <w:rPr>
          <w:lang w:val="sr-Cyrl-CS"/>
        </w:rPr>
        <w:t xml:space="preserve"> </w:t>
      </w:r>
      <w:r w:rsidRPr="00523472">
        <w:t>тачка 3. Закона о локалној самоуправи (''Службени гласник РС'', бр. 129/2007, 83/2014-др.закон, 101/2016-др.закон</w:t>
      </w:r>
      <w:r w:rsidRPr="00523472">
        <w:rPr>
          <w:lang w:val="sr-Cyrl-RS"/>
        </w:rPr>
        <w:t xml:space="preserve">, </w:t>
      </w:r>
      <w:r w:rsidRPr="00523472">
        <w:t>47/2018</w:t>
      </w:r>
      <w:r w:rsidRPr="00523472">
        <w:rPr>
          <w:lang w:val="sr-Cyrl-RS"/>
        </w:rPr>
        <w:t xml:space="preserve"> и 111/2021-др.закон</w:t>
      </w:r>
      <w:r w:rsidRPr="00523472">
        <w:t xml:space="preserve">), члана 6 </w:t>
      </w:r>
      <w:r w:rsidRPr="00523472">
        <w:rPr>
          <w:lang w:val="sr-Cyrl-RS"/>
        </w:rPr>
        <w:t>став 1. тачка 3.</w:t>
      </w:r>
      <w:r w:rsidRPr="00523472">
        <w:t xml:space="preserve">, 7, 11, 15. </w:t>
      </w:r>
      <w:r w:rsidRPr="00523472">
        <w:rPr>
          <w:lang w:val="sr-Cyrl-RS"/>
        </w:rPr>
        <w:t>-</w:t>
      </w:r>
      <w:r w:rsidRPr="00523472">
        <w:t xml:space="preserve"> 18. Закона о финансирању локалне самоуправе („Службени гласник РС“ бр. 62/2006</w:t>
      </w:r>
      <w:r w:rsidRPr="00523472">
        <w:rPr>
          <w:lang w:val="sr-Cyrl-RS"/>
        </w:rPr>
        <w:t xml:space="preserve">, </w:t>
      </w:r>
      <w:r w:rsidRPr="00523472">
        <w:t>89/2018</w:t>
      </w:r>
      <w:r w:rsidRPr="00523472">
        <w:rPr>
          <w:lang w:val="sr-Cyrl-CS"/>
        </w:rPr>
        <w:t xml:space="preserve"> – усклађени дин. изн.</w:t>
      </w:r>
      <w:r w:rsidRPr="00523472">
        <w:t xml:space="preserve"> </w:t>
      </w:r>
      <w:r w:rsidRPr="00523472">
        <w:rPr>
          <w:lang w:val="sr-Cyrl-CS"/>
        </w:rPr>
        <w:t xml:space="preserve">95/2018 - </w:t>
      </w:r>
      <w:r w:rsidRPr="00523472">
        <w:rPr>
          <w:lang w:val="sr-Cyrl-RS"/>
        </w:rPr>
        <w:t>др</w:t>
      </w:r>
      <w:r w:rsidRPr="00523472">
        <w:rPr>
          <w:lang w:val="sr-Cyrl-CS"/>
        </w:rPr>
        <w:t xml:space="preserve">. </w:t>
      </w:r>
      <w:r w:rsidRPr="00523472">
        <w:rPr>
          <w:lang w:val="sr-Cyrl-RS"/>
        </w:rPr>
        <w:t>закон</w:t>
      </w:r>
      <w:r w:rsidRPr="00523472">
        <w:rPr>
          <w:lang w:val="sr-Cyrl-CS"/>
        </w:rPr>
        <w:t>, 86/2019 - усклађени дин. изн.</w:t>
      </w:r>
      <w:r w:rsidRPr="00523472">
        <w:t xml:space="preserve">, </w:t>
      </w:r>
      <w:r w:rsidRPr="00523472">
        <w:rPr>
          <w:lang w:val="sr-Cyrl-CS"/>
        </w:rPr>
        <w:t>126/2020 - усклађени дин. изн.</w:t>
      </w:r>
      <w:r w:rsidRPr="00523472">
        <w:rPr>
          <w:lang w:val="sr-Cyrl-RS"/>
        </w:rPr>
        <w:t xml:space="preserve">, 99/2021 </w:t>
      </w:r>
      <w:r w:rsidRPr="00523472">
        <w:rPr>
          <w:lang w:val="sr-Cyrl-CS"/>
        </w:rPr>
        <w:t>- усклађени дин. изн., 111/2021 – др. Закон и 124/2022 – усклађени дин.изн.</w:t>
      </w:r>
      <w:r>
        <w:rPr>
          <w:lang w:val="sr-Latn-RS"/>
        </w:rPr>
        <w:t xml:space="preserve">, </w:t>
      </w:r>
      <w:r>
        <w:rPr>
          <w:lang w:val="sr-Cyrl-RS"/>
        </w:rPr>
        <w:t xml:space="preserve">97/2023 - </w:t>
      </w:r>
      <w:r w:rsidRPr="00523472">
        <w:rPr>
          <w:lang w:val="sr-Cyrl-CS"/>
        </w:rPr>
        <w:t>усклађени дин.изн.</w:t>
      </w:r>
      <w:r>
        <w:rPr>
          <w:lang w:val="sr-Cyrl-RS"/>
        </w:rPr>
        <w:t xml:space="preserve"> и 85/2024 - </w:t>
      </w:r>
      <w:r w:rsidRPr="00523472">
        <w:rPr>
          <w:lang w:val="sr-Cyrl-CS"/>
        </w:rPr>
        <w:t>усклађени дин.изн.</w:t>
      </w:r>
      <w:r>
        <w:rPr>
          <w:lang w:val="sr-Latn-RS"/>
        </w:rPr>
        <w:t>,</w:t>
      </w:r>
      <w:r>
        <w:rPr>
          <w:lang w:val="sr-Cyrl-RS"/>
        </w:rPr>
        <w:t xml:space="preserve"> </w:t>
      </w:r>
      <w:r w:rsidRPr="00523472">
        <w:t xml:space="preserve">) и члана 40. </w:t>
      </w:r>
      <w:r w:rsidRPr="00523472">
        <w:rPr>
          <w:lang w:val="sr-Cyrl-CS"/>
        </w:rPr>
        <w:t>став 1. тачка 3.</w:t>
      </w:r>
      <w:r w:rsidRPr="00523472">
        <w:t xml:space="preserve"> Статута </w:t>
      </w:r>
      <w:r w:rsidRPr="00523472">
        <w:rPr>
          <w:lang w:val="sr-Cyrl-CS"/>
        </w:rPr>
        <w:t xml:space="preserve">Града </w:t>
      </w:r>
      <w:r w:rsidRPr="00523472">
        <w:t xml:space="preserve"> </w:t>
      </w:r>
      <w:r w:rsidRPr="00523472">
        <w:rPr>
          <w:lang w:val="sr-Cyrl-CS"/>
        </w:rPr>
        <w:t>Прокупља</w:t>
      </w:r>
      <w:r w:rsidRPr="00523472">
        <w:t xml:space="preserve"> („Службени лист </w:t>
      </w:r>
      <w:r w:rsidRPr="00523472">
        <w:rPr>
          <w:lang w:val="sr-Cyrl-CS"/>
        </w:rPr>
        <w:t>О</w:t>
      </w:r>
      <w:r w:rsidRPr="00523472">
        <w:t xml:space="preserve">пштине </w:t>
      </w:r>
      <w:r w:rsidRPr="00523472">
        <w:rPr>
          <w:lang w:val="sr-Cyrl-CS"/>
        </w:rPr>
        <w:t>Прокупље</w:t>
      </w:r>
      <w:r w:rsidRPr="00523472">
        <w:t xml:space="preserve">“ бр. </w:t>
      </w:r>
      <w:r w:rsidRPr="00523472">
        <w:rPr>
          <w:lang w:val="sr-Cyrl-CS"/>
        </w:rPr>
        <w:t>15/2018</w:t>
      </w:r>
      <w:r>
        <w:t>)</w:t>
      </w:r>
      <w:r w:rsidRPr="00523472">
        <w:t xml:space="preserve">, </w:t>
      </w:r>
      <w:r w:rsidR="00C11AF0">
        <w:rPr>
          <w:lang w:val="sr-Cyrl-RS"/>
        </w:rPr>
        <w:t>Скупштина града Прокупља</w:t>
      </w:r>
      <w:r>
        <w:t>, на седници одржаној</w:t>
      </w:r>
      <w:r>
        <w:rPr>
          <w:lang w:val="sr-Cyrl-CS"/>
        </w:rPr>
        <w:t xml:space="preserve"> </w:t>
      </w:r>
      <w:r>
        <w:t xml:space="preserve"> дана  </w:t>
      </w:r>
      <w:r>
        <w:rPr>
          <w:lang w:val="sr-Cyrl-RS"/>
        </w:rPr>
        <w:t>_______________________</w:t>
      </w:r>
      <w:r>
        <w:t xml:space="preserve"> године, донела је </w:t>
      </w:r>
    </w:p>
    <w:p w:rsidR="00B25059" w:rsidRDefault="00B25059" w:rsidP="00B25059">
      <w:pPr>
        <w:pStyle w:val="Heading10"/>
        <w:shd w:val="clear" w:color="auto" w:fill="auto"/>
        <w:spacing w:before="0" w:after="0" w:line="240" w:lineRule="auto"/>
        <w:jc w:val="left"/>
        <w:rPr>
          <w:rStyle w:val="Heading1Spacing3pt"/>
          <w:rFonts w:eastAsiaTheme="minorHAnsi"/>
          <w:b/>
          <w:sz w:val="24"/>
          <w:szCs w:val="24"/>
        </w:rPr>
      </w:pPr>
    </w:p>
    <w:p w:rsidR="00B25059" w:rsidRPr="00095A76" w:rsidRDefault="00B25059" w:rsidP="00B25059">
      <w:pPr>
        <w:pStyle w:val="Heading10"/>
        <w:shd w:val="clear" w:color="auto" w:fill="auto"/>
        <w:spacing w:before="0" w:after="0" w:line="240" w:lineRule="auto"/>
        <w:jc w:val="left"/>
        <w:rPr>
          <w:rStyle w:val="Heading1Spacing3pt"/>
          <w:rFonts w:eastAsiaTheme="minorHAnsi"/>
          <w:b/>
          <w:sz w:val="24"/>
          <w:szCs w:val="24"/>
        </w:rPr>
      </w:pPr>
    </w:p>
    <w:p w:rsidR="00B25059" w:rsidRPr="00523472" w:rsidRDefault="00B25059" w:rsidP="00B25059">
      <w:pPr>
        <w:pStyle w:val="Heading10"/>
        <w:shd w:val="clear" w:color="auto" w:fill="auto"/>
        <w:spacing w:before="0" w:after="0" w:line="240" w:lineRule="auto"/>
        <w:ind w:left="20"/>
        <w:rPr>
          <w:rStyle w:val="Heading1Spacing3pt"/>
          <w:rFonts w:eastAsiaTheme="minorHAnsi"/>
          <w:b/>
          <w:sz w:val="24"/>
          <w:szCs w:val="24"/>
        </w:rPr>
      </w:pPr>
      <w:r>
        <w:rPr>
          <w:rStyle w:val="Heading1Spacing3pt"/>
          <w:rFonts w:eastAsiaTheme="minorHAnsi"/>
          <w:b/>
          <w:sz w:val="24"/>
          <w:szCs w:val="24"/>
        </w:rPr>
        <w:t xml:space="preserve">Н А Ц Р Т </w:t>
      </w:r>
      <w:r w:rsidRPr="00523472">
        <w:rPr>
          <w:rStyle w:val="Heading1Spacing3pt"/>
          <w:rFonts w:eastAsiaTheme="minorHAnsi"/>
          <w:b/>
          <w:sz w:val="24"/>
          <w:szCs w:val="24"/>
        </w:rPr>
        <w:t>ОДЛУК</w:t>
      </w:r>
      <w:r>
        <w:rPr>
          <w:rStyle w:val="Heading1Spacing3pt"/>
          <w:rFonts w:eastAsiaTheme="minorHAnsi"/>
          <w:b/>
          <w:sz w:val="24"/>
          <w:szCs w:val="24"/>
        </w:rPr>
        <w:t>Е</w:t>
      </w:r>
    </w:p>
    <w:p w:rsidR="00B25059" w:rsidRPr="00523472" w:rsidRDefault="00B25059" w:rsidP="00B25059">
      <w:pPr>
        <w:ind w:firstLine="720"/>
        <w:jc w:val="both"/>
        <w:rPr>
          <w:b/>
          <w:caps/>
        </w:rPr>
      </w:pPr>
      <w:r w:rsidRPr="00523472">
        <w:rPr>
          <w:b/>
          <w:caps/>
        </w:rPr>
        <w:t>о утврђивању накнаде за коришћење јавних површина</w:t>
      </w:r>
    </w:p>
    <w:p w:rsidR="00B25059" w:rsidRPr="00523472" w:rsidRDefault="00B25059" w:rsidP="00B25059">
      <w:pPr>
        <w:jc w:val="center"/>
      </w:pPr>
    </w:p>
    <w:p w:rsidR="00B25059" w:rsidRPr="00523472" w:rsidRDefault="00B25059" w:rsidP="00B25059">
      <w:pPr>
        <w:jc w:val="center"/>
        <w:rPr>
          <w:lang w:val="sr-Cyrl-RS"/>
        </w:rPr>
      </w:pPr>
      <w:r w:rsidRPr="00523472">
        <w:t>Члан 1.</w:t>
      </w:r>
    </w:p>
    <w:p w:rsidR="00B25059" w:rsidRPr="00523472" w:rsidRDefault="00B25059" w:rsidP="00B25059">
      <w:pPr>
        <w:jc w:val="both"/>
      </w:pPr>
      <w:r w:rsidRPr="00523472">
        <w:rPr>
          <w:lang w:val="sr-Cyrl-CS"/>
        </w:rPr>
        <w:tab/>
      </w:r>
      <w:r w:rsidRPr="00523472">
        <w:t>Овом</w:t>
      </w:r>
      <w:r w:rsidRPr="00523472">
        <w:rPr>
          <w:lang w:val="sr-Cyrl-CS"/>
        </w:rPr>
        <w:t xml:space="preserve"> </w:t>
      </w:r>
      <w:r w:rsidRPr="00523472">
        <w:t xml:space="preserve">Одлуком </w:t>
      </w:r>
      <w:r w:rsidRPr="00523472">
        <w:rPr>
          <w:lang w:val="sr-Cyrl-RS"/>
        </w:rPr>
        <w:t>уводи се</w:t>
      </w:r>
      <w:r w:rsidRPr="00523472">
        <w:t xml:space="preserve"> накнад</w:t>
      </w:r>
      <w:r w:rsidRPr="00523472">
        <w:rPr>
          <w:lang w:val="sr-Cyrl-RS"/>
        </w:rPr>
        <w:t>а</w:t>
      </w:r>
      <w:r w:rsidRPr="00523472">
        <w:t xml:space="preserve"> за коришћење јавне површине у складу са законом на територији </w:t>
      </w:r>
      <w:r w:rsidRPr="00523472">
        <w:rPr>
          <w:lang w:val="sr-Cyrl-CS"/>
        </w:rPr>
        <w:t>Града</w:t>
      </w:r>
      <w:r w:rsidRPr="00523472">
        <w:t xml:space="preserve"> </w:t>
      </w:r>
      <w:r w:rsidRPr="00523472">
        <w:rPr>
          <w:lang w:val="sr-Cyrl-CS"/>
        </w:rPr>
        <w:t>Прокупља</w:t>
      </w:r>
      <w:r w:rsidRPr="00523472">
        <w:rPr>
          <w:lang w:val="sr-Cyrl-RS"/>
        </w:rPr>
        <w:t xml:space="preserve"> </w:t>
      </w:r>
      <w:r w:rsidRPr="00523472">
        <w:t>и утврђују се, висина, олакшице, рокови и садржај података о коришћењу јавне површине надлежном органу који утврђује обавезу плаћања накнаде.</w:t>
      </w:r>
    </w:p>
    <w:p w:rsidR="00B25059" w:rsidRPr="00523472" w:rsidRDefault="00B25059" w:rsidP="00B25059"/>
    <w:p w:rsidR="00B25059" w:rsidRPr="00523472" w:rsidRDefault="00B25059" w:rsidP="00B25059">
      <w:pPr>
        <w:jc w:val="center"/>
      </w:pPr>
      <w:r w:rsidRPr="00523472">
        <w:t>Обвезник накнаде</w:t>
      </w:r>
    </w:p>
    <w:p w:rsidR="00B25059" w:rsidRPr="00523472" w:rsidRDefault="00B25059" w:rsidP="00B25059">
      <w:pPr>
        <w:jc w:val="center"/>
      </w:pPr>
      <w:r w:rsidRPr="00523472">
        <w:t>Члан 2.</w:t>
      </w:r>
    </w:p>
    <w:p w:rsidR="00B25059" w:rsidRPr="00523472" w:rsidRDefault="00B25059" w:rsidP="00B25059">
      <w:pPr>
        <w:ind w:firstLine="720"/>
        <w:jc w:val="both"/>
      </w:pPr>
      <w:r w:rsidRPr="00523472">
        <w:t>Обвезник накнаде за коришћење јавне површине је корисник јавне површине.</w:t>
      </w:r>
    </w:p>
    <w:p w:rsidR="00B25059" w:rsidRPr="00523472" w:rsidRDefault="00B25059" w:rsidP="00B25059"/>
    <w:p w:rsidR="00B25059" w:rsidRPr="00523472" w:rsidRDefault="00B25059" w:rsidP="00B25059">
      <w:pPr>
        <w:jc w:val="center"/>
      </w:pPr>
      <w:r w:rsidRPr="00523472">
        <w:t>Основица</w:t>
      </w:r>
    </w:p>
    <w:p w:rsidR="00B25059" w:rsidRPr="00523472" w:rsidRDefault="00B25059" w:rsidP="00B25059">
      <w:pPr>
        <w:jc w:val="center"/>
      </w:pPr>
      <w:r w:rsidRPr="00523472">
        <w:t>Члан 3.</w:t>
      </w:r>
    </w:p>
    <w:p w:rsidR="00B25059" w:rsidRPr="00523472" w:rsidRDefault="00B25059" w:rsidP="00B25059">
      <w:pPr>
        <w:jc w:val="both"/>
        <w:rPr>
          <w:lang w:val="sr-Cyrl-RS"/>
        </w:rPr>
      </w:pPr>
      <w:r w:rsidRPr="00523472">
        <w:tab/>
        <w:t>Основица накнаде за коришћење простора на јавној површини је површина коришћења простора у метрима квадратним (м2).</w:t>
      </w:r>
    </w:p>
    <w:p w:rsidR="00B25059" w:rsidRPr="00523472" w:rsidRDefault="00B25059" w:rsidP="00B25059">
      <w:pPr>
        <w:jc w:val="center"/>
        <w:rPr>
          <w:lang w:val="sr-Cyrl-RS"/>
        </w:rPr>
      </w:pPr>
    </w:p>
    <w:p w:rsidR="00B25059" w:rsidRPr="00523472" w:rsidRDefault="00B25059" w:rsidP="00B25059">
      <w:pPr>
        <w:jc w:val="center"/>
      </w:pPr>
      <w:r w:rsidRPr="00523472">
        <w:t>Висина накнаде</w:t>
      </w:r>
    </w:p>
    <w:p w:rsidR="00B25059" w:rsidRPr="00523472" w:rsidRDefault="00B25059" w:rsidP="00B25059">
      <w:pPr>
        <w:jc w:val="center"/>
      </w:pPr>
      <w:r w:rsidRPr="00523472">
        <w:t>Члан 4.</w:t>
      </w:r>
    </w:p>
    <w:p w:rsidR="00B25059" w:rsidRPr="00523472" w:rsidRDefault="00B25059" w:rsidP="00B25059">
      <w:pPr>
        <w:jc w:val="both"/>
      </w:pPr>
      <w:r w:rsidRPr="00523472">
        <w:tab/>
        <w:t xml:space="preserve">Висина накнаде за коришћење јавне површине утврђује се узимајући у обзир највиши износ накнаде прописан законом, која је одређена у м2 по дану,  и применом критеријума као што су: време коришћења простора, зона у којој се налази простор који се користи, као и техничко-употребне карактеристике објекта, уколико се површина користи за постављање објекта. </w:t>
      </w:r>
    </w:p>
    <w:p w:rsidR="00B25059" w:rsidRPr="007F737A" w:rsidRDefault="00B25059" w:rsidP="00B25059">
      <w:pPr>
        <w:ind w:firstLine="720"/>
        <w:jc w:val="both"/>
        <w:rPr>
          <w:lang w:val="sr-Latn-RS"/>
        </w:rPr>
      </w:pPr>
      <w:r w:rsidRPr="00523472">
        <w:rPr>
          <w:rFonts w:eastAsia="Arial"/>
        </w:rPr>
        <w:t>Висина накнаде за коришћење јавних површина је утврђена у таксеној тарифи, која је саставни део ове одлуке.</w:t>
      </w:r>
    </w:p>
    <w:p w:rsidR="00B25059" w:rsidRPr="00523472" w:rsidRDefault="00B25059" w:rsidP="00B25059">
      <w:pPr>
        <w:jc w:val="center"/>
      </w:pPr>
      <w:r w:rsidRPr="00523472">
        <w:t>Зоне</w:t>
      </w:r>
    </w:p>
    <w:p w:rsidR="00B25059" w:rsidRPr="00523472" w:rsidRDefault="00B25059" w:rsidP="00B25059">
      <w:pPr>
        <w:jc w:val="center"/>
      </w:pPr>
      <w:r w:rsidRPr="00523472">
        <w:t>Члан 5.</w:t>
      </w:r>
    </w:p>
    <w:p w:rsidR="00B25059" w:rsidRPr="00523472" w:rsidRDefault="00B25059" w:rsidP="00B25059">
      <w:pPr>
        <w:rPr>
          <w:b/>
          <w:lang w:val="sr-Cyrl-CS"/>
        </w:rPr>
      </w:pPr>
      <w:r w:rsidRPr="00523472">
        <w:rPr>
          <w:lang w:val="sr-Cyrl-CS"/>
        </w:rPr>
        <w:t>Подручје града Прокупља обухвата следеће зоне:</w:t>
      </w:r>
      <w:r w:rsidRPr="00523472">
        <w:rPr>
          <w:lang w:val="sr-Cyrl-CS"/>
        </w:rPr>
        <w:tab/>
      </w:r>
      <w:r w:rsidRPr="00523472">
        <w:rPr>
          <w:lang w:val="sr-Cyrl-CS"/>
        </w:rPr>
        <w:tab/>
      </w:r>
      <w:r w:rsidRPr="00523472">
        <w:rPr>
          <w:lang w:val="sr-Cyrl-CS"/>
        </w:rPr>
        <w:tab/>
      </w:r>
      <w:r w:rsidRPr="00523472">
        <w:rPr>
          <w:lang w:val="sr-Cyrl-CS"/>
        </w:rPr>
        <w:tab/>
      </w:r>
    </w:p>
    <w:p w:rsidR="00B25059" w:rsidRPr="00523472" w:rsidRDefault="00B25059" w:rsidP="00B25059">
      <w:pPr>
        <w:jc w:val="both"/>
        <w:rPr>
          <w:lang w:val="sr-Cyrl-CS"/>
        </w:rPr>
      </w:pPr>
      <w:r w:rsidRPr="00523472">
        <w:rPr>
          <w:lang w:val="sr-Cyrl-CS"/>
        </w:rPr>
        <w:t xml:space="preserve"> </w:t>
      </w:r>
    </w:p>
    <w:p w:rsidR="00B25059" w:rsidRPr="00523472" w:rsidRDefault="00B25059" w:rsidP="00B25059">
      <w:pPr>
        <w:jc w:val="both"/>
        <w:rPr>
          <w:b/>
          <w:lang w:val="hr-HR"/>
        </w:rPr>
      </w:pPr>
      <w:r w:rsidRPr="00523472">
        <w:rPr>
          <w:b/>
          <w:lang w:val="it-IT"/>
        </w:rPr>
        <w:t>Еxтра зона</w:t>
      </w:r>
      <w:r w:rsidRPr="00523472">
        <w:rPr>
          <w:b/>
          <w:lang w:val="hr-HR"/>
        </w:rPr>
        <w:t xml:space="preserve"> (БИД - зона)</w:t>
      </w:r>
    </w:p>
    <w:p w:rsidR="00B25059" w:rsidRPr="00523472" w:rsidRDefault="00B25059" w:rsidP="00B25059">
      <w:pPr>
        <w:jc w:val="both"/>
        <w:rPr>
          <w:lang w:val="hr-HR"/>
        </w:rPr>
      </w:pPr>
      <w:r w:rsidRPr="00523472">
        <w:rPr>
          <w:lang w:val="hr-HR"/>
        </w:rPr>
        <w:tab/>
      </w:r>
      <w:r w:rsidRPr="00523472">
        <w:rPr>
          <w:lang w:val="sr-Cyrl-CS"/>
        </w:rPr>
        <w:t>Ова зона обухвата</w:t>
      </w:r>
      <w:r w:rsidRPr="00523472">
        <w:rPr>
          <w:lang w:val="hr-HR"/>
        </w:rPr>
        <w:t xml:space="preserve"> </w:t>
      </w:r>
      <w:r w:rsidRPr="00523472">
        <w:rPr>
          <w:lang w:val="sr-Cyrl-CS"/>
        </w:rPr>
        <w:t>ул</w:t>
      </w:r>
      <w:r w:rsidRPr="00523472">
        <w:rPr>
          <w:lang w:val="hr-HR"/>
        </w:rPr>
        <w:t xml:space="preserve">. </w:t>
      </w:r>
      <w:r w:rsidRPr="00523472">
        <w:rPr>
          <w:lang w:val="sr-Cyrl-CS"/>
        </w:rPr>
        <w:t>Југ Богданову</w:t>
      </w:r>
      <w:r w:rsidRPr="00523472">
        <w:rPr>
          <w:lang w:val="hr-HR"/>
        </w:rPr>
        <w:t xml:space="preserve"> </w:t>
      </w:r>
      <w:r w:rsidRPr="00523472">
        <w:rPr>
          <w:lang w:val="sr-Cyrl-CS"/>
        </w:rPr>
        <w:t>од пресека</w:t>
      </w:r>
      <w:r w:rsidRPr="00523472">
        <w:rPr>
          <w:lang w:val="hr-HR"/>
        </w:rPr>
        <w:t xml:space="preserve"> </w:t>
      </w:r>
      <w:r w:rsidRPr="00523472">
        <w:rPr>
          <w:lang w:val="sr-Cyrl-CS"/>
        </w:rPr>
        <w:t>са улицом Кнез Михаиловом</w:t>
      </w:r>
      <w:r w:rsidRPr="00523472">
        <w:rPr>
          <w:lang w:val="hr-HR"/>
        </w:rPr>
        <w:t xml:space="preserve"> </w:t>
      </w:r>
      <w:r w:rsidRPr="00523472">
        <w:rPr>
          <w:lang w:val="sr-Cyrl-CS"/>
        </w:rPr>
        <w:t>до пресека са улицом</w:t>
      </w:r>
      <w:r w:rsidRPr="00523472">
        <w:rPr>
          <w:lang w:val="hr-HR"/>
        </w:rPr>
        <w:t xml:space="preserve"> </w:t>
      </w:r>
      <w:r w:rsidRPr="00523472">
        <w:rPr>
          <w:lang w:val="sr-Cyrl-CS"/>
        </w:rPr>
        <w:t>Косте Војиновића</w:t>
      </w:r>
      <w:r w:rsidRPr="00523472">
        <w:rPr>
          <w:lang w:val="hr-HR"/>
        </w:rPr>
        <w:t>.</w:t>
      </w:r>
    </w:p>
    <w:p w:rsidR="00B25059" w:rsidRPr="00523472" w:rsidRDefault="00B25059" w:rsidP="00B25059">
      <w:pPr>
        <w:jc w:val="both"/>
        <w:rPr>
          <w:b/>
        </w:rPr>
      </w:pPr>
    </w:p>
    <w:p w:rsidR="00B25059" w:rsidRPr="00523472" w:rsidRDefault="00B25059" w:rsidP="00B25059">
      <w:pPr>
        <w:jc w:val="both"/>
        <w:rPr>
          <w:b/>
          <w:lang w:val="sr-Cyrl-CS"/>
        </w:rPr>
      </w:pPr>
      <w:r w:rsidRPr="00523472">
        <w:rPr>
          <w:b/>
          <w:lang w:val="it-IT"/>
        </w:rPr>
        <w:t xml:space="preserve">I </w:t>
      </w:r>
      <w:r w:rsidRPr="00523472">
        <w:rPr>
          <w:b/>
          <w:lang w:val="sr-Cyrl-CS"/>
        </w:rPr>
        <w:t>ЗОНА</w:t>
      </w:r>
    </w:p>
    <w:p w:rsidR="00B25059" w:rsidRPr="00523472" w:rsidRDefault="00B25059" w:rsidP="00B25059">
      <w:pPr>
        <w:tabs>
          <w:tab w:val="left" w:pos="720"/>
        </w:tabs>
        <w:spacing w:before="120" w:after="240"/>
        <w:jc w:val="both"/>
        <w:rPr>
          <w:rFonts w:eastAsiaTheme="minorEastAsia"/>
          <w:lang w:val="sr-Latn-RS"/>
        </w:rPr>
      </w:pPr>
      <w:r w:rsidRPr="00523472">
        <w:rPr>
          <w:lang w:val="it-IT"/>
        </w:rPr>
        <w:tab/>
      </w:r>
      <w:r w:rsidRPr="00523472">
        <w:rPr>
          <w:rFonts w:eastAsiaTheme="minorEastAsia"/>
          <w:lang w:val="ru-RU"/>
        </w:rPr>
        <w:t>1.</w:t>
      </w:r>
      <w:r w:rsidRPr="00523472">
        <w:rPr>
          <w:rFonts w:eastAsiaTheme="minorEastAsia"/>
          <w:lang w:val="sr-Latn-BA"/>
        </w:rPr>
        <w:t xml:space="preserve"> </w:t>
      </w:r>
      <w:r w:rsidRPr="00523472">
        <w:rPr>
          <w:rFonts w:eastAsiaTheme="minorEastAsia"/>
          <w:u w:val="single"/>
        </w:rPr>
        <w:t>I</w:t>
      </w:r>
      <w:r w:rsidRPr="00523472">
        <w:rPr>
          <w:rFonts w:eastAsiaTheme="minorEastAsia"/>
          <w:u w:val="single"/>
          <w:lang w:val="ru-RU"/>
        </w:rPr>
        <w:t xml:space="preserve"> зона</w:t>
      </w:r>
      <w:r w:rsidRPr="00523472">
        <w:rPr>
          <w:rFonts w:eastAsiaTheme="minorEastAsia"/>
          <w:lang w:val="sr-Latn-BA"/>
        </w:rPr>
        <w:t xml:space="preserve"> </w:t>
      </w:r>
      <w:r w:rsidRPr="00523472">
        <w:rPr>
          <w:rFonts w:eastAsiaTheme="minorEastAsia"/>
          <w:lang w:val="ru-RU"/>
        </w:rPr>
        <w:t>обухвата ул</w:t>
      </w:r>
      <w:r w:rsidRPr="00523472">
        <w:rPr>
          <w:rFonts w:eastAsiaTheme="minorEastAsia"/>
          <w:lang w:val="sr-Cyrl-RS"/>
        </w:rPr>
        <w:t>ице:</w:t>
      </w:r>
      <w:r w:rsidRPr="00523472">
        <w:rPr>
          <w:rFonts w:eastAsiaTheme="minorEastAsia"/>
          <w:lang w:val="ru-RU"/>
        </w:rPr>
        <w:t xml:space="preserve"> </w:t>
      </w:r>
      <w:r w:rsidRPr="00523472">
        <w:rPr>
          <w:rFonts w:eastAsiaTheme="minorEastAsia"/>
          <w:lang w:val="sr-Cyrl-RS"/>
        </w:rPr>
        <w:t>Ратка Павловића, Трг Топличких јунака,  Хорватовићева, Босанска, Балканска, Бошка Југовића, Јаворова, Вардарска, Кнеза Милоша, Орловића Павла, пут др Алексе Савића, Дунђерска, 9. Октобара, Цара Душана, Хајдук Вељкова, Синђелићева, Ђуре Јакшића, Кнез Михајлова, Топлице Милана, Косовска, Краљевића Марка, Драгољуба Радосављевића, 21 Српске дивизије, Војводе Мишића, Таткова,  Стеван Немање, Страхињића Бана, Милоша Обилића, Поштанска, Цара Лазара, Даринке Несторовић, Танаска Рајића, Генерала Тренијеа, Нишка</w:t>
      </w:r>
      <w:r w:rsidRPr="00523472">
        <w:rPr>
          <w:rFonts w:eastAsiaTheme="minorEastAsia"/>
          <w:lang w:val="sr-Latn-RS"/>
        </w:rPr>
        <w:t xml:space="preserve">, </w:t>
      </w:r>
      <w:r w:rsidRPr="00523472">
        <w:rPr>
          <w:rFonts w:eastAsiaTheme="minorEastAsia"/>
          <w:lang w:val="sr-Cyrl-RS"/>
        </w:rPr>
        <w:lastRenderedPageBreak/>
        <w:t>Крушевачка, Лоле Рибара, 29. Новембара, Вуковарска, Косанчић Ивана, Приштинска, Милена Јовановића, Јастребачка</w:t>
      </w:r>
      <w:r w:rsidRPr="00523472">
        <w:rPr>
          <w:rFonts w:eastAsiaTheme="minorEastAsia"/>
          <w:lang w:val="sr-Latn-RS"/>
        </w:rPr>
        <w:t xml:space="preserve">, </w:t>
      </w:r>
      <w:r w:rsidRPr="00523472">
        <w:rPr>
          <w:rFonts w:eastAsiaTheme="minorEastAsia"/>
          <w:lang w:val="sr-Cyrl-RS"/>
        </w:rPr>
        <w:t>Василија Ђуровића Жарког</w:t>
      </w:r>
      <w:r w:rsidRPr="00523472">
        <w:rPr>
          <w:rFonts w:eastAsiaTheme="minorEastAsia"/>
          <w:lang w:val="sr-Latn-RS"/>
        </w:rPr>
        <w:t xml:space="preserve">, </w:t>
      </w:r>
      <w:r w:rsidRPr="00523472">
        <w:rPr>
          <w:rFonts w:eastAsiaTheme="minorEastAsia"/>
          <w:lang w:val="sr-Cyrl-RS"/>
        </w:rPr>
        <w:t>Солунска, Драгољуба Ракића</w:t>
      </w:r>
      <w:r w:rsidRPr="00523472">
        <w:rPr>
          <w:rFonts w:eastAsiaTheme="minorEastAsia"/>
          <w:lang w:val="sr-Latn-RS"/>
        </w:rPr>
        <w:t xml:space="preserve">, </w:t>
      </w:r>
      <w:r w:rsidRPr="00523472">
        <w:rPr>
          <w:rFonts w:eastAsiaTheme="minorEastAsia"/>
          <w:lang w:val="sr-Cyrl-RS"/>
        </w:rPr>
        <w:t>Косте Војиновића</w:t>
      </w:r>
      <w:r w:rsidRPr="00523472">
        <w:rPr>
          <w:rFonts w:eastAsiaTheme="minorEastAsia"/>
          <w:lang w:val="sr-Latn-RS"/>
        </w:rPr>
        <w:t xml:space="preserve">, </w:t>
      </w:r>
    </w:p>
    <w:p w:rsidR="00B25059" w:rsidRPr="00523472" w:rsidRDefault="00B25059" w:rsidP="00B25059">
      <w:pPr>
        <w:tabs>
          <w:tab w:val="left" w:pos="720"/>
        </w:tabs>
        <w:spacing w:before="120" w:after="240"/>
        <w:jc w:val="both"/>
        <w:rPr>
          <w:rFonts w:eastAsiaTheme="minorEastAsia"/>
          <w:lang w:val="sr-Cyrl-RS"/>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B25059" w:rsidRPr="00523472" w:rsidRDefault="00B25059" w:rsidP="00B25059">
      <w:pPr>
        <w:tabs>
          <w:tab w:val="left" w:pos="720"/>
        </w:tabs>
        <w:spacing w:before="120" w:after="240"/>
        <w:jc w:val="both"/>
        <w:rPr>
          <w:rFonts w:eastAsiaTheme="minorEastAsia"/>
          <w:lang w:val="sr-Cyrl-RS"/>
        </w:rPr>
      </w:pPr>
      <w:r w:rsidRPr="00523472">
        <w:rPr>
          <w:rFonts w:eastAsiaTheme="minorEastAsia"/>
          <w:lang w:val="sr-Latn-BA"/>
        </w:rPr>
        <w:tab/>
        <w:t>2</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rPr>
        <w:t>II</w:t>
      </w:r>
      <w:r w:rsidRPr="00523472">
        <w:rPr>
          <w:rFonts w:eastAsiaTheme="minorEastAsia"/>
          <w:u w:val="single"/>
          <w:lang w:val="ru-RU"/>
        </w:rPr>
        <w:t xml:space="preserve"> зона</w:t>
      </w:r>
      <w:r w:rsidRPr="00523472">
        <w:rPr>
          <w:rFonts w:eastAsiaTheme="minorEastAsia"/>
          <w:lang w:val="ru-RU"/>
        </w:rPr>
        <w:t xml:space="preserve">   обухвата </w:t>
      </w:r>
      <w:r w:rsidRPr="00523472">
        <w:rPr>
          <w:rFonts w:eastAsiaTheme="minorEastAsia"/>
          <w:lang w:val="sr-Cyrl-RS"/>
        </w:rPr>
        <w:t>улице: Петра Кочића, Устаничка, Јефимијина, Генерала Лешјанина, Филипа Филиповића, Вуковарска, Сремска, Ареснија Чарнојевића, Вука Караџића, Новоселска, Столета Радосављевића, Ћирила и Методија, Озренска, Масарикова, Крцунова, Ђуке Динића, Петра Бој</w:t>
      </w:r>
      <w:r w:rsidRPr="00523472">
        <w:rPr>
          <w:rFonts w:eastAsiaTheme="minorEastAsia"/>
          <w:lang w:val="sr-Latn-RS"/>
        </w:rPr>
        <w:t>o</w:t>
      </w:r>
      <w:r w:rsidRPr="00523472">
        <w:rPr>
          <w:rFonts w:eastAsiaTheme="minorEastAsia"/>
          <w:lang w:val="sr-Cyrl-RS"/>
        </w:rPr>
        <w:t>вића, Зетска II, Зетска I, Васе Чарапића, Војводе Степе, Николе</w:t>
      </w:r>
      <w:r w:rsidRPr="00523472">
        <w:rPr>
          <w:rFonts w:eastAsiaTheme="minorEastAsia"/>
          <w:lang w:val="sr-Latn-RS"/>
        </w:rPr>
        <w:t>,</w:t>
      </w:r>
      <w:r w:rsidRPr="00523472">
        <w:rPr>
          <w:rFonts w:eastAsiaTheme="minorEastAsia"/>
          <w:lang w:val="sr-Cyrl-RS"/>
        </w:rPr>
        <w:t xml:space="preserve"> Коперника, Стевана Мокрањца, Војислава Стојановића, Игманска, Марије Бурсаћ, Војвођанска, Таковска, Колубарска, Војводе Пријезде, Вишеградска, Владике Николаја, Милутина Бојића, Станка Пауновића, Милоша Црњанског, Стојадинке Радосављевића, Милована Глишића, Косте Стаменковића, 4. Јули, Наде Томић, Борска, Горња Драгања, Милунке Савић, Жикице Јовановића Шпанца, Пећка, Ђуре Ђаковића, Пролетерска, Расинска, Бранка Радичевића, Ајдановачка, Јована Дучића, Мике Младеновића, 3. Август, Зеле Вељковића, Милуша Мамића, Алексе Шантића, Николе Тесле, Копаоничка, Вељка Миланковића Вука, Рада Драинца, Вељка Влаховића, Иве Андрића, Јужноморавска, 7. Јули, Кајмакчаланска, Омладинска, Јастребачка, Царице Милице, Божидара Аџије, Краља Уроша, Змај Јовина, 8. Март, Његошева, Тике Станковића, Тимочка, Скадарска, Нушићева, Ивана Горана Ковачића, Алексе Савића, Церска, Јадранска, Добричка, Баштованска, Пане Ђукића, Липарска, Боже Илића, Партизанска,</w:t>
      </w:r>
      <w:r w:rsidRPr="00523472">
        <w:rPr>
          <w:rFonts w:eastAsiaTheme="minorEastAsia"/>
          <w:lang w:val="sr-Latn-RS"/>
        </w:rPr>
        <w:t xml:space="preserve"> </w:t>
      </w:r>
      <w:r w:rsidRPr="00523472">
        <w:rPr>
          <w:rFonts w:eastAsiaTheme="minorEastAsia"/>
          <w:lang w:val="sr-Cyrl-RS"/>
        </w:rPr>
        <w:t>Јована Цвијића, Пасјачка, Браће Рогановића,</w:t>
      </w:r>
      <w:r w:rsidRPr="00523472">
        <w:rPr>
          <w:rFonts w:eastAsiaTheme="minorEastAsia"/>
          <w:lang w:val="sr-Latn-RS"/>
        </w:rPr>
        <w:t xml:space="preserve"> </w:t>
      </w:r>
      <w:r w:rsidRPr="00523472">
        <w:rPr>
          <w:rFonts w:eastAsiaTheme="minorEastAsia"/>
          <w:lang w:val="sr-Cyrl-RS"/>
        </w:rPr>
        <w:t>Драгољуба Митровића, Топличка, Бруска, Ибарска, Каменоломска, Саве Ковачевића, Мраморска, Косовке Девојке, Светог Николе, Дринска, Гаврила Принципа, Призренска, Барска, Милана Ракића, Бате Стефановића, Виноградарска, Васе Пелагића, Зорана Радмиловића, Ртањсака, Појатска, Доситеја Обрадовића, Драгутина Добричанина, Милоша Поцерца, Поп Мичета, Моравска, Попа Пелеха, Јеврејска, Мишарска, Руђера Бошковића, Божурска, Авалска, Бошка Бухе, Карађорђева, Данила Киша, Сокобањска, Милице Протић, Ужичка, Краља Милана, Стевана Новаковића, Новосадска</w:t>
      </w:r>
      <w:r w:rsidRPr="00523472">
        <w:rPr>
          <w:rFonts w:eastAsiaTheme="minorEastAsia"/>
          <w:lang w:val="sr-Latn-RS"/>
        </w:rPr>
        <w:t xml:space="preserve">, </w:t>
      </w:r>
      <w:r w:rsidRPr="00523472">
        <w:rPr>
          <w:rFonts w:eastAsiaTheme="minorEastAsia"/>
          <w:lang w:val="sr-Cyrl-RS"/>
        </w:rPr>
        <w:t>Ђуревачка</w:t>
      </w:r>
      <w:r w:rsidRPr="00523472">
        <w:rPr>
          <w:rFonts w:eastAsiaTheme="minorEastAsia"/>
          <w:lang w:val="sr-Latn-RS"/>
        </w:rPr>
        <w:t xml:space="preserve">, </w:t>
      </w:r>
      <w:r w:rsidRPr="00523472">
        <w:rPr>
          <w:rFonts w:eastAsiaTheme="minorEastAsia"/>
          <w:lang w:val="sr-Cyrl-RS"/>
        </w:rPr>
        <w:t>Малопланска, Гарићка.</w:t>
      </w:r>
    </w:p>
    <w:p w:rsidR="00B25059" w:rsidRPr="00523472" w:rsidRDefault="00B25059" w:rsidP="00B25059">
      <w:pPr>
        <w:spacing w:before="120" w:after="240"/>
        <w:jc w:val="both"/>
        <w:rPr>
          <w:rFonts w:eastAsiaTheme="minorEastAsia"/>
          <w:lang w:val="ru-RU"/>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B25059" w:rsidRPr="00523472" w:rsidRDefault="00B25059" w:rsidP="00B25059">
      <w:pPr>
        <w:tabs>
          <w:tab w:val="left" w:pos="720"/>
        </w:tabs>
        <w:spacing w:before="120" w:after="240"/>
        <w:jc w:val="both"/>
        <w:rPr>
          <w:rFonts w:eastAsiaTheme="minorEastAsia"/>
          <w:lang w:val="sr-Cyrl-RS"/>
        </w:rPr>
      </w:pPr>
      <w:r w:rsidRPr="00523472">
        <w:rPr>
          <w:rFonts w:eastAsiaTheme="minorEastAsia"/>
          <w:lang w:val="sr-Latn-BA"/>
        </w:rPr>
        <w:tab/>
        <w:t>3</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rPr>
        <w:t>III</w:t>
      </w:r>
      <w:r w:rsidRPr="00523472">
        <w:rPr>
          <w:rFonts w:eastAsiaTheme="minorEastAsia"/>
          <w:u w:val="single"/>
          <w:lang w:val="ru-RU"/>
        </w:rPr>
        <w:t xml:space="preserve"> зона</w:t>
      </w:r>
      <w:r w:rsidRPr="00523472">
        <w:rPr>
          <w:rFonts w:eastAsiaTheme="minorEastAsia"/>
          <w:lang w:val="ru-RU"/>
        </w:rPr>
        <w:t xml:space="preserve">  </w:t>
      </w:r>
      <w:r w:rsidRPr="00523472">
        <w:rPr>
          <w:rFonts w:eastAsiaTheme="minorEastAsia"/>
          <w:lang w:val="sr-Cyrl-RS"/>
        </w:rPr>
        <w:t>обухвата улице: Филипа Кљајића, Видовданска, Газиместанска, Светог Саве, Боре и Рамиза, Миладина Поповића, Владе Зечевића, Браће Јерковића, Лазе Лазаревића, Книнска, Бенковачка, Личка, Васка Попе, Банијска, Кордунска, Херцеговачка, Студеничка, Крфска, Краља Милутина, Светог Прокопија, Власте Илића, Браће Милачића, Заплањска, Ђуличка, Милентија Поповића, Јабланичка, Радивоја Увалића Бате, Бубањских Хероја, Чегарска, Рентгенова, Браће Стојановића, Војислава Илића, Симоновачка, Соколичка, Симоновац</w:t>
      </w:r>
      <w:r w:rsidRPr="00523472">
        <w:rPr>
          <w:rFonts w:eastAsiaTheme="minorEastAsia"/>
          <w:lang w:val="sr-Latn-RS"/>
        </w:rPr>
        <w:t xml:space="preserve">, </w:t>
      </w:r>
      <w:r w:rsidRPr="00523472">
        <w:rPr>
          <w:rFonts w:eastAsiaTheme="minorEastAsia"/>
          <w:lang w:val="sr-Cyrl-RS"/>
        </w:rPr>
        <w:t>Болнички поток, Радивоја Домановића, Хајдук Станка, Хисарска, Раданска, Водичка, Багремарска, Видојевачка, Бумбуречка, Врањанска, Хиландарска, Трнавачка, Боре Станковића, Шекспирова, Светозара Марковића, Радивоја Кораћа, Београдска, Француска, Анђелије Лазаревића, Стржавачка, Мостарска, Стојана Главаше, Јанка Веселиновића, Грачаничка, Веселина Маслеше, Вишњичка, Пинкијева, Бранка Ћопића, Властимира Станишића Лација.</w:t>
      </w:r>
    </w:p>
    <w:p w:rsidR="00B25059" w:rsidRPr="00523472" w:rsidRDefault="00B25059" w:rsidP="00B25059">
      <w:pPr>
        <w:spacing w:before="120" w:after="240"/>
        <w:jc w:val="both"/>
        <w:rPr>
          <w:rFonts w:eastAsiaTheme="minorEastAsia"/>
          <w:lang w:val="ru-RU"/>
        </w:rPr>
      </w:pPr>
      <w:r w:rsidRPr="00523472">
        <w:rPr>
          <w:rFonts w:eastAsiaTheme="minorEastAsia"/>
          <w:lang w:val="ru-RU"/>
        </w:rPr>
        <w:t>Напомена: у ову зону се убрајају и објекти чије парцеле се директно ослањају на поменуте улице.</w:t>
      </w:r>
    </w:p>
    <w:p w:rsidR="00B25059" w:rsidRPr="00523472" w:rsidRDefault="00B25059" w:rsidP="00B25059">
      <w:pPr>
        <w:tabs>
          <w:tab w:val="left" w:pos="720"/>
        </w:tabs>
        <w:spacing w:before="120" w:after="240"/>
        <w:rPr>
          <w:rFonts w:eastAsiaTheme="minorEastAsia"/>
        </w:rPr>
      </w:pPr>
      <w:r w:rsidRPr="00523472">
        <w:rPr>
          <w:rFonts w:eastAsiaTheme="minorEastAsia"/>
          <w:lang w:val="sr-Cyrl-RS"/>
        </w:rPr>
        <w:t xml:space="preserve">             </w:t>
      </w:r>
      <w:r w:rsidRPr="00523472">
        <w:rPr>
          <w:rFonts w:eastAsiaTheme="minorEastAsia"/>
          <w:lang w:val="sr-Latn-BA"/>
        </w:rPr>
        <w:t>4</w:t>
      </w:r>
      <w:r w:rsidRPr="00523472">
        <w:rPr>
          <w:rFonts w:eastAsiaTheme="minorEastAsia"/>
          <w:lang w:val="ru-RU"/>
        </w:rPr>
        <w:t>.</w:t>
      </w:r>
      <w:r w:rsidRPr="00523472">
        <w:rPr>
          <w:rFonts w:eastAsiaTheme="minorEastAsia"/>
          <w:lang w:val="sr-Latn-BA"/>
        </w:rPr>
        <w:t xml:space="preserve"> </w:t>
      </w:r>
      <w:r w:rsidRPr="00523472">
        <w:rPr>
          <w:rFonts w:eastAsiaTheme="minorEastAsia"/>
          <w:u w:val="single"/>
          <w:lang w:val="sr-Latn-CS"/>
        </w:rPr>
        <w:t>IV зона</w:t>
      </w:r>
      <w:r w:rsidRPr="00523472">
        <w:rPr>
          <w:rFonts w:eastAsiaTheme="minorEastAsia"/>
        </w:rPr>
        <w:t xml:space="preserve">    обухвата сеоска подручја.</w:t>
      </w:r>
    </w:p>
    <w:p w:rsidR="00B25059" w:rsidRPr="00523472" w:rsidRDefault="00B25059" w:rsidP="00B25059">
      <w:pPr>
        <w:jc w:val="center"/>
      </w:pPr>
      <w:r w:rsidRPr="00523472">
        <w:t>Време коришћења простора</w:t>
      </w:r>
    </w:p>
    <w:p w:rsidR="00B25059" w:rsidRPr="00523472" w:rsidRDefault="00B25059" w:rsidP="00B25059">
      <w:pPr>
        <w:jc w:val="center"/>
      </w:pPr>
      <w:r w:rsidRPr="00523472">
        <w:t>Члан 6.</w:t>
      </w:r>
    </w:p>
    <w:p w:rsidR="00B25059" w:rsidRPr="00523472" w:rsidRDefault="00B25059" w:rsidP="00B25059">
      <w:pPr>
        <w:jc w:val="both"/>
        <w:rPr>
          <w:lang w:val="sr-Cyrl-RS"/>
        </w:rPr>
      </w:pPr>
      <w:r w:rsidRPr="00523472">
        <w:tab/>
        <w:t>Време коришћење простора може бити изражено у данима, на месечном и годишњем нивоу,  о чему се корисник простора изјашњава у пријави за коришћење простора.</w:t>
      </w:r>
    </w:p>
    <w:p w:rsidR="00B25059" w:rsidRPr="00523472" w:rsidRDefault="00B25059" w:rsidP="00B25059">
      <w:pPr>
        <w:jc w:val="center"/>
      </w:pPr>
      <w:r w:rsidRPr="00523472">
        <w:lastRenderedPageBreak/>
        <w:t>Јавна површина</w:t>
      </w:r>
    </w:p>
    <w:p w:rsidR="00B25059" w:rsidRPr="00523472" w:rsidRDefault="00B25059" w:rsidP="00B25059">
      <w:pPr>
        <w:jc w:val="center"/>
      </w:pPr>
      <w:r w:rsidRPr="00523472">
        <w:t>Члан 7.</w:t>
      </w:r>
    </w:p>
    <w:p w:rsidR="00B25059" w:rsidRPr="00523472" w:rsidRDefault="00B25059" w:rsidP="00B25059">
      <w:pPr>
        <w:jc w:val="both"/>
      </w:pPr>
      <w:r w:rsidRPr="00523472">
        <w:tab/>
        <w:t xml:space="preserve">Јавна површина у смислу ове одлуке јесте површина утврђена планским документом </w:t>
      </w:r>
      <w:r w:rsidRPr="00523472">
        <w:rPr>
          <w:lang w:val="sr-Cyrl-CS"/>
        </w:rPr>
        <w:t>града</w:t>
      </w:r>
      <w:r w:rsidRPr="00523472">
        <w:t xml:space="preserve"> која је доступна свим корисницима под једнаким условима, и то:</w:t>
      </w:r>
    </w:p>
    <w:p w:rsidR="00B25059" w:rsidRPr="00523472" w:rsidRDefault="00B25059" w:rsidP="00B25059">
      <w:pPr>
        <w:jc w:val="both"/>
      </w:pPr>
      <w:r w:rsidRPr="00523472">
        <w:tab/>
        <w:t>-јавна саобраћајна површина (пут, улица, пешачка зона и сл.),</w:t>
      </w:r>
    </w:p>
    <w:p w:rsidR="00B25059" w:rsidRPr="00523472" w:rsidRDefault="00B25059" w:rsidP="00B25059">
      <w:pPr>
        <w:jc w:val="both"/>
      </w:pPr>
      <w:r w:rsidRPr="00523472">
        <w:tab/>
        <w:t>-трг,</w:t>
      </w:r>
    </w:p>
    <w:p w:rsidR="00B25059" w:rsidRPr="00523472" w:rsidRDefault="00B25059" w:rsidP="00B25059">
      <w:pPr>
        <w:jc w:val="both"/>
      </w:pPr>
      <w:r w:rsidRPr="00523472">
        <w:tab/>
        <w:t>-јавна зелена површина (парк, сквер, градска шума и сл.),</w:t>
      </w:r>
    </w:p>
    <w:p w:rsidR="00B25059" w:rsidRPr="00523472" w:rsidRDefault="00B25059" w:rsidP="00B25059">
      <w:pPr>
        <w:jc w:val="both"/>
      </w:pPr>
      <w:r w:rsidRPr="00523472">
        <w:tab/>
        <w:t>-јавна површина блока (парковски уређене површине и саобраћајне површине).</w:t>
      </w:r>
    </w:p>
    <w:p w:rsidR="00B25059" w:rsidRPr="00523472" w:rsidRDefault="00B25059" w:rsidP="00B25059">
      <w:pPr>
        <w:autoSpaceDE w:val="0"/>
        <w:autoSpaceDN w:val="0"/>
        <w:adjustRightInd w:val="0"/>
        <w:jc w:val="center"/>
      </w:pPr>
      <w:r w:rsidRPr="00523472">
        <w:t>Утврђивање плаћања</w:t>
      </w:r>
    </w:p>
    <w:p w:rsidR="00B25059" w:rsidRPr="00523472" w:rsidRDefault="00B25059" w:rsidP="00B25059">
      <w:pPr>
        <w:autoSpaceDE w:val="0"/>
        <w:autoSpaceDN w:val="0"/>
        <w:adjustRightInd w:val="0"/>
        <w:jc w:val="center"/>
        <w:rPr>
          <w:lang w:val="sr-Cyrl-RS"/>
        </w:rPr>
      </w:pPr>
      <w:r w:rsidRPr="00523472">
        <w:t>Члан 8.</w:t>
      </w:r>
    </w:p>
    <w:p w:rsidR="00B25059" w:rsidRPr="00523472" w:rsidRDefault="00B25059" w:rsidP="00B25059">
      <w:pPr>
        <w:autoSpaceDE w:val="0"/>
        <w:autoSpaceDN w:val="0"/>
        <w:adjustRightInd w:val="0"/>
        <w:jc w:val="both"/>
      </w:pPr>
      <w:r w:rsidRPr="00523472">
        <w:tab/>
        <w:t>Обвезник накнаде дужан је да утврђену обавезу по основу накнаде плаћа до 15. у месецу за претходни месец, а за месеце за које је обавеза доспела у моменту уручења решења у року од 15 дана од дана достављања решења.</w:t>
      </w:r>
    </w:p>
    <w:p w:rsidR="00B25059" w:rsidRPr="00523472" w:rsidRDefault="00B25059" w:rsidP="00B25059">
      <w:pPr>
        <w:autoSpaceDE w:val="0"/>
        <w:autoSpaceDN w:val="0"/>
        <w:adjustRightInd w:val="0"/>
        <w:jc w:val="both"/>
      </w:pPr>
      <w:r w:rsidRPr="00523472">
        <w:tab/>
        <w:t>Ако се накнада плаћа за дане (мање од 1 месец), обвезник је у обавези да обрачунату накнаду плати приликом достављања решења.</w:t>
      </w:r>
    </w:p>
    <w:p w:rsidR="00B25059" w:rsidRPr="00523472" w:rsidRDefault="00B25059" w:rsidP="00B25059">
      <w:pPr>
        <w:autoSpaceDE w:val="0"/>
        <w:autoSpaceDN w:val="0"/>
        <w:adjustRightInd w:val="0"/>
        <w:ind w:firstLine="720"/>
        <w:jc w:val="both"/>
        <w:rPr>
          <w:lang w:val="sr-Cyrl-RS"/>
        </w:rPr>
      </w:pPr>
      <w:r w:rsidRPr="00523472">
        <w:t>Ако се накнада плаћа на годишњем нивоу, обвезник плаћа накнаду у року од 15 дана од дана достављања решења.</w:t>
      </w:r>
    </w:p>
    <w:p w:rsidR="00B25059" w:rsidRPr="00523472" w:rsidRDefault="00B25059" w:rsidP="00B25059">
      <w:pPr>
        <w:ind w:firstLine="720"/>
        <w:rPr>
          <w:lang w:val="sr-Cyrl-RS"/>
        </w:rPr>
      </w:pPr>
      <w:r w:rsidRPr="00523472">
        <w:t>Накнада се</w:t>
      </w:r>
      <w:r w:rsidRPr="00523472">
        <w:rPr>
          <w:lang w:val="sr-Cyrl-RS"/>
        </w:rPr>
        <w:t xml:space="preserve"> плаћа у пуном износу пре почетка коришћења накнаде за Тарифни број 1.1, 1.2, 1.3, 1.5, 1.6, 1.7, 1.8, 1.9 и 1.10.</w:t>
      </w:r>
    </w:p>
    <w:p w:rsidR="00B25059" w:rsidRPr="00523472" w:rsidRDefault="00B25059" w:rsidP="00B25059">
      <w:pPr>
        <w:autoSpaceDE w:val="0"/>
        <w:autoSpaceDN w:val="0"/>
        <w:adjustRightInd w:val="0"/>
        <w:jc w:val="both"/>
        <w:rPr>
          <w:lang w:val="sr-Cyrl-RS"/>
        </w:rPr>
      </w:pPr>
      <w:r w:rsidRPr="00523472">
        <w:tab/>
      </w:r>
    </w:p>
    <w:p w:rsidR="00B25059" w:rsidRPr="00523472" w:rsidRDefault="00B25059" w:rsidP="00B25059">
      <w:pPr>
        <w:jc w:val="center"/>
      </w:pPr>
      <w:r w:rsidRPr="00523472">
        <w:t>Врсте накнада</w:t>
      </w:r>
    </w:p>
    <w:p w:rsidR="00B25059" w:rsidRPr="00523472" w:rsidRDefault="00B25059" w:rsidP="00B25059">
      <w:pPr>
        <w:jc w:val="center"/>
      </w:pPr>
      <w:r w:rsidRPr="00523472">
        <w:t>Члан 9.</w:t>
      </w:r>
    </w:p>
    <w:p w:rsidR="00B25059" w:rsidRPr="00523472" w:rsidRDefault="00B25059" w:rsidP="00B25059">
      <w:r w:rsidRPr="00523472">
        <w:tab/>
        <w:t>Накнаде за коришћење јавне површине су:</w:t>
      </w:r>
    </w:p>
    <w:p w:rsidR="00B25059" w:rsidRPr="00523472" w:rsidRDefault="00B25059" w:rsidP="00B25059">
      <w:pPr>
        <w:ind w:firstLine="720"/>
      </w:pPr>
      <w:r w:rsidRPr="00523472">
        <w:t>1.Накнада за коришћење простора на  јавној површини у пословне и друге сврхе, осим ради продаје штампе, књига и других публикација, производа старих заната и домаће радиности;</w:t>
      </w:r>
    </w:p>
    <w:p w:rsidR="00B25059" w:rsidRPr="00523472" w:rsidRDefault="00B25059" w:rsidP="00B25059">
      <w:pPr>
        <w:ind w:firstLine="720"/>
        <w:jc w:val="both"/>
      </w:pPr>
      <w:r w:rsidRPr="00523472">
        <w:t>2. 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w:t>
      </w:r>
    </w:p>
    <w:p w:rsidR="00B25059" w:rsidRPr="00523472" w:rsidRDefault="00B25059" w:rsidP="00B25059">
      <w:pPr>
        <w:ind w:firstLine="720"/>
        <w:jc w:val="both"/>
      </w:pPr>
      <w:r w:rsidRPr="00523472">
        <w:t>3.Накнада за коришћење јавне површине по основу заузећа грађевинским материјалом и за извођење грађевинских радова и изградњу.</w:t>
      </w:r>
    </w:p>
    <w:p w:rsidR="00B25059" w:rsidRPr="00523472" w:rsidRDefault="00B25059" w:rsidP="00B25059">
      <w:pPr>
        <w:jc w:val="center"/>
      </w:pPr>
    </w:p>
    <w:p w:rsidR="00B25059" w:rsidRPr="00523472" w:rsidRDefault="00B25059" w:rsidP="00B25059">
      <w:pPr>
        <w:pStyle w:val="ListParagraph"/>
        <w:numPr>
          <w:ilvl w:val="0"/>
          <w:numId w:val="1"/>
        </w:numPr>
        <w:jc w:val="center"/>
      </w:pPr>
      <w:r w:rsidRPr="00523472">
        <w:t>Накнада за коришћење простора на  јавној површини у пословне и друге сврхе</w:t>
      </w:r>
    </w:p>
    <w:p w:rsidR="00B25059" w:rsidRPr="007F737A" w:rsidRDefault="00B25059" w:rsidP="00B25059">
      <w:pPr>
        <w:rPr>
          <w:lang w:val="sr-Latn-RS"/>
        </w:rPr>
      </w:pPr>
    </w:p>
    <w:p w:rsidR="00B25059" w:rsidRPr="00523472" w:rsidRDefault="00B25059" w:rsidP="00B25059">
      <w:pPr>
        <w:jc w:val="center"/>
      </w:pPr>
      <w:r w:rsidRPr="00523472">
        <w:t>Члан 10.</w:t>
      </w:r>
    </w:p>
    <w:p w:rsidR="00B25059" w:rsidRPr="00523472" w:rsidRDefault="00B25059" w:rsidP="00B25059">
      <w:pPr>
        <w:jc w:val="both"/>
        <w:rPr>
          <w:lang w:val="sr-Cyrl-RS"/>
        </w:rPr>
      </w:pPr>
      <w:r w:rsidRPr="00523472">
        <w:tab/>
        <w:t>Накнада за коришћење простора на  јавној површини у пословне и друге сврхе плаћа се за  коришћење простора за постављање:</w:t>
      </w:r>
    </w:p>
    <w:p w:rsidR="00B25059" w:rsidRPr="00523472" w:rsidRDefault="00B25059" w:rsidP="00B25059">
      <w:pPr>
        <w:pStyle w:val="ListParagraph"/>
        <w:numPr>
          <w:ilvl w:val="0"/>
          <w:numId w:val="2"/>
        </w:numPr>
        <w:ind w:left="0" w:firstLine="0"/>
        <w:jc w:val="both"/>
      </w:pPr>
      <w:r w:rsidRPr="00523472">
        <w:t>Тезг</w:t>
      </w:r>
      <w:r w:rsidRPr="00523472">
        <w:rPr>
          <w:lang w:val="sr-Cyrl-CS"/>
        </w:rPr>
        <w:t>и</w:t>
      </w:r>
      <w:r w:rsidRPr="00523472">
        <w:t xml:space="preserve"> и пултов</w:t>
      </w:r>
      <w:r w:rsidRPr="00523472">
        <w:rPr>
          <w:lang w:val="sr-Cyrl-CS"/>
        </w:rPr>
        <w:t>а</w:t>
      </w:r>
      <w:r w:rsidRPr="00523472">
        <w:t>,</w:t>
      </w:r>
    </w:p>
    <w:p w:rsidR="00B25059" w:rsidRPr="007F737A" w:rsidRDefault="00B25059" w:rsidP="00B25059">
      <w:pPr>
        <w:pStyle w:val="ListParagraph"/>
        <w:numPr>
          <w:ilvl w:val="0"/>
          <w:numId w:val="2"/>
        </w:numPr>
        <w:ind w:left="0" w:firstLine="0"/>
        <w:jc w:val="both"/>
      </w:pPr>
      <w:r w:rsidRPr="00523472">
        <w:t xml:space="preserve">Уређаја за печење и продају кокица, уређаји за израду и продају мини крофница, </w:t>
      </w:r>
    </w:p>
    <w:p w:rsidR="00B25059" w:rsidRPr="00523472" w:rsidRDefault="00B25059" w:rsidP="00B25059">
      <w:pPr>
        <w:pStyle w:val="ListParagraph"/>
        <w:ind w:left="0"/>
        <w:jc w:val="both"/>
      </w:pPr>
      <w:r>
        <w:rPr>
          <w:lang w:val="sr-Cyrl-RS"/>
        </w:rPr>
        <w:t xml:space="preserve">             </w:t>
      </w:r>
      <w:r w:rsidRPr="00523472">
        <w:t xml:space="preserve">уређаја за производњу и продају  шећерне вуне, уређаја за производњу и </w:t>
      </w:r>
    </w:p>
    <w:p w:rsidR="00B25059" w:rsidRPr="00523472" w:rsidRDefault="00B25059" w:rsidP="00B25059">
      <w:pPr>
        <w:pStyle w:val="ListParagraph"/>
        <w:ind w:left="0"/>
        <w:jc w:val="both"/>
      </w:pPr>
      <w:r>
        <w:rPr>
          <w:lang w:val="sr-Cyrl-CS"/>
        </w:rPr>
        <w:t xml:space="preserve">             </w:t>
      </w:r>
      <w:r w:rsidRPr="00523472">
        <w:t>продају помфрита и уређаја за печење и продају кукурних клипова и кестена,</w:t>
      </w:r>
    </w:p>
    <w:p w:rsidR="00B25059" w:rsidRPr="007F737A" w:rsidRDefault="00B25059" w:rsidP="00B25059">
      <w:pPr>
        <w:pStyle w:val="ListParagraph"/>
        <w:numPr>
          <w:ilvl w:val="0"/>
          <w:numId w:val="2"/>
        </w:numPr>
        <w:ind w:left="0" w:firstLine="0"/>
        <w:jc w:val="both"/>
      </w:pPr>
      <w:r w:rsidRPr="00523472">
        <w:t>Расхладне коморе за продају сладоледа, расхладне</w:t>
      </w:r>
      <w:r>
        <w:t xml:space="preserve"> коморе за продају сладоледа на</w:t>
      </w:r>
      <w:r>
        <w:rPr>
          <w:lang w:val="sr-Cyrl-RS"/>
        </w:rPr>
        <w:t xml:space="preserve"> </w:t>
      </w:r>
    </w:p>
    <w:p w:rsidR="00B25059" w:rsidRDefault="00B25059" w:rsidP="00B25059">
      <w:pPr>
        <w:pStyle w:val="ListParagraph"/>
        <w:ind w:left="0"/>
        <w:jc w:val="both"/>
        <w:rPr>
          <w:lang w:val="sr-Cyrl-RS"/>
        </w:rPr>
      </w:pPr>
      <w:r>
        <w:rPr>
          <w:lang w:val="sr-Cyrl-RS"/>
        </w:rPr>
        <w:t xml:space="preserve">             </w:t>
      </w:r>
      <w:r w:rsidRPr="00523472">
        <w:t xml:space="preserve">точење, расхладне витрине за продају хладних напитака, апарата за </w:t>
      </w:r>
      <w:r w:rsidRPr="007F737A">
        <w:rPr>
          <w:lang w:val="sr-Cyrl-CS"/>
        </w:rPr>
        <w:t xml:space="preserve"> </w:t>
      </w:r>
      <w:r w:rsidRPr="00523472">
        <w:t xml:space="preserve">продају топлих </w:t>
      </w:r>
      <w:r>
        <w:rPr>
          <w:lang w:val="sr-Cyrl-RS"/>
        </w:rPr>
        <w:t xml:space="preserve">  </w:t>
      </w:r>
    </w:p>
    <w:p w:rsidR="00B25059" w:rsidRPr="00523472" w:rsidRDefault="00B25059" w:rsidP="00B25059">
      <w:pPr>
        <w:pStyle w:val="ListParagraph"/>
        <w:ind w:left="0"/>
        <w:jc w:val="both"/>
      </w:pPr>
      <w:r>
        <w:rPr>
          <w:lang w:val="sr-Cyrl-RS"/>
        </w:rPr>
        <w:t xml:space="preserve">             </w:t>
      </w:r>
      <w:r w:rsidRPr="00523472">
        <w:t>напитика и еспресо кафе,</w:t>
      </w:r>
    </w:p>
    <w:p w:rsidR="00B25059" w:rsidRPr="00523472" w:rsidRDefault="00B25059" w:rsidP="00B25059">
      <w:pPr>
        <w:pStyle w:val="ListParagraph"/>
        <w:numPr>
          <w:ilvl w:val="0"/>
          <w:numId w:val="2"/>
        </w:numPr>
        <w:ind w:left="0" w:firstLine="0"/>
        <w:jc w:val="both"/>
      </w:pPr>
      <w:r w:rsidRPr="00523472">
        <w:t>Летње баште угоститељског објекта,</w:t>
      </w:r>
    </w:p>
    <w:p w:rsidR="00B25059" w:rsidRPr="007F737A" w:rsidRDefault="00B25059" w:rsidP="00B25059">
      <w:pPr>
        <w:pStyle w:val="ListParagraph"/>
        <w:numPr>
          <w:ilvl w:val="0"/>
          <w:numId w:val="2"/>
        </w:numPr>
        <w:ind w:left="0" w:firstLine="0"/>
        <w:jc w:val="both"/>
      </w:pPr>
      <w:r w:rsidRPr="00523472">
        <w:t xml:space="preserve">Монтажни садржаји за дечији забавни и спортски програм, дечији аутомобили на </w:t>
      </w:r>
    </w:p>
    <w:p w:rsidR="00B25059" w:rsidRPr="00523472" w:rsidRDefault="00B25059" w:rsidP="00B25059">
      <w:pPr>
        <w:pStyle w:val="ListParagraph"/>
        <w:ind w:left="0"/>
        <w:jc w:val="both"/>
      </w:pPr>
      <w:r>
        <w:rPr>
          <w:lang w:val="sr-Cyrl-RS"/>
        </w:rPr>
        <w:t xml:space="preserve">            </w:t>
      </w:r>
      <w:r w:rsidRPr="00523472">
        <w:t>батерије, апарати за дечије играчке, апарати  за хватање лутака,</w:t>
      </w:r>
    </w:p>
    <w:p w:rsidR="00B25059" w:rsidRPr="00523472" w:rsidRDefault="00B25059" w:rsidP="00B25059">
      <w:pPr>
        <w:pStyle w:val="ListParagraph"/>
        <w:numPr>
          <w:ilvl w:val="0"/>
          <w:numId w:val="2"/>
        </w:numPr>
        <w:ind w:left="0" w:firstLine="0"/>
        <w:jc w:val="both"/>
      </w:pPr>
      <w:r w:rsidRPr="00523472">
        <w:t>Забавни луна парк,  клизалиште, трамболине,</w:t>
      </w:r>
    </w:p>
    <w:p w:rsidR="00B25059" w:rsidRPr="00523472" w:rsidRDefault="00B25059" w:rsidP="00B25059">
      <w:pPr>
        <w:pStyle w:val="ListParagraph"/>
        <w:numPr>
          <w:ilvl w:val="0"/>
          <w:numId w:val="2"/>
        </w:numPr>
        <w:ind w:left="0" w:firstLine="0"/>
        <w:jc w:val="both"/>
      </w:pPr>
      <w:r w:rsidRPr="00523472">
        <w:rPr>
          <w:lang w:val="sr-Cyrl-RS"/>
        </w:rPr>
        <w:t>Дечије клацкалице</w:t>
      </w:r>
      <w:r w:rsidRPr="00523472">
        <w:t>,</w:t>
      </w:r>
    </w:p>
    <w:p w:rsidR="00B25059" w:rsidRPr="00523472" w:rsidRDefault="00B25059" w:rsidP="00B25059">
      <w:pPr>
        <w:pStyle w:val="ListParagraph"/>
        <w:numPr>
          <w:ilvl w:val="0"/>
          <w:numId w:val="2"/>
        </w:numPr>
        <w:ind w:left="0" w:firstLine="0"/>
        <w:jc w:val="both"/>
      </w:pPr>
      <w:r w:rsidRPr="00523472">
        <w:rPr>
          <w:lang w:val="sr-Cyrl-RS"/>
        </w:rPr>
        <w:t>Посуде са биљном декорацијом</w:t>
      </w:r>
      <w:r w:rsidRPr="00523472">
        <w:t>,</w:t>
      </w:r>
    </w:p>
    <w:p w:rsidR="00B25059" w:rsidRPr="00523472" w:rsidRDefault="00B25059" w:rsidP="00B25059">
      <w:pPr>
        <w:pStyle w:val="ListParagraph"/>
        <w:numPr>
          <w:ilvl w:val="0"/>
          <w:numId w:val="2"/>
        </w:numPr>
        <w:ind w:left="0" w:firstLine="0"/>
        <w:jc w:val="both"/>
      </w:pPr>
      <w:r w:rsidRPr="00523472">
        <w:rPr>
          <w:lang w:val="sr-Cyrl-RS"/>
        </w:rPr>
        <w:lastRenderedPageBreak/>
        <w:t>З</w:t>
      </w:r>
      <w:r w:rsidRPr="00523472">
        <w:rPr>
          <w:lang w:val="sr-Cyrl-CS"/>
        </w:rPr>
        <w:t>аштитне ограде, стубића, паркинг стубићима са проширењем, паркинг баријерама</w:t>
      </w:r>
      <w:r w:rsidRPr="00523472">
        <w:t xml:space="preserve"> ,</w:t>
      </w:r>
    </w:p>
    <w:p w:rsidR="00B25059" w:rsidRPr="007F737A" w:rsidRDefault="00B25059" w:rsidP="00B25059">
      <w:pPr>
        <w:pStyle w:val="ListParagraph"/>
        <w:numPr>
          <w:ilvl w:val="0"/>
          <w:numId w:val="2"/>
        </w:numPr>
        <w:ind w:left="0" w:firstLine="0"/>
        <w:jc w:val="both"/>
      </w:pPr>
      <w:r w:rsidRPr="00523472">
        <w:rPr>
          <w:lang w:val="sr-Cyrl-RS"/>
        </w:rPr>
        <w:t>С</w:t>
      </w:r>
      <w:r w:rsidRPr="00523472">
        <w:t xml:space="preserve">талка за продају хелијум балона,  сталка за продају наочара, опреме за израду </w:t>
      </w:r>
    </w:p>
    <w:p w:rsidR="00B25059" w:rsidRPr="00523472" w:rsidRDefault="00B25059" w:rsidP="00B25059">
      <w:pPr>
        <w:pStyle w:val="ListParagraph"/>
        <w:ind w:left="0"/>
        <w:jc w:val="both"/>
      </w:pPr>
      <w:r>
        <w:rPr>
          <w:lang w:val="sr-Cyrl-RS"/>
        </w:rPr>
        <w:t xml:space="preserve">            </w:t>
      </w:r>
      <w:r w:rsidRPr="00523472">
        <w:rPr>
          <w:lang w:val="sr-Cyrl-RS"/>
        </w:rPr>
        <w:t>ф</w:t>
      </w:r>
      <w:r w:rsidRPr="00523472">
        <w:t xml:space="preserve">отографија на шољама, уређаја за мерење телесне тежине, опреме за </w:t>
      </w:r>
    </w:p>
    <w:p w:rsidR="00B25059" w:rsidRPr="00523472" w:rsidRDefault="00B25059" w:rsidP="00B25059">
      <w:pPr>
        <w:pStyle w:val="ListParagraph"/>
        <w:ind w:left="0"/>
        <w:jc w:val="both"/>
      </w:pPr>
      <w:r>
        <w:rPr>
          <w:lang w:val="sr-Cyrl-CS"/>
        </w:rPr>
        <w:t xml:space="preserve">            </w:t>
      </w:r>
      <w:r w:rsidRPr="00523472">
        <w:t>плетење кикица и израду привремних тетоважа,,</w:t>
      </w:r>
    </w:p>
    <w:p w:rsidR="00B25059" w:rsidRPr="00523472" w:rsidRDefault="00B25059" w:rsidP="00B25059">
      <w:pPr>
        <w:pStyle w:val="ListParagraph"/>
        <w:numPr>
          <w:ilvl w:val="0"/>
          <w:numId w:val="2"/>
        </w:numPr>
        <w:ind w:left="0" w:firstLine="0"/>
        <w:jc w:val="both"/>
      </w:pPr>
      <w:r w:rsidRPr="00523472">
        <w:t>Коришћење простора за теретно возило за снабдевање,</w:t>
      </w:r>
    </w:p>
    <w:p w:rsidR="00B25059" w:rsidRPr="007F737A" w:rsidRDefault="00B25059" w:rsidP="00B25059">
      <w:pPr>
        <w:pStyle w:val="ListParagraph"/>
        <w:numPr>
          <w:ilvl w:val="0"/>
          <w:numId w:val="2"/>
        </w:numPr>
        <w:ind w:left="0" w:firstLine="0"/>
        <w:jc w:val="both"/>
      </w:pPr>
      <w:r w:rsidRPr="00523472">
        <w:t xml:space="preserve">Коришћење слободних површина за кампове, постављање шатора и других објеката </w:t>
      </w:r>
    </w:p>
    <w:p w:rsidR="00B25059" w:rsidRPr="00523472" w:rsidRDefault="00B25059" w:rsidP="00B25059">
      <w:pPr>
        <w:pStyle w:val="ListParagraph"/>
        <w:ind w:left="0"/>
        <w:jc w:val="both"/>
      </w:pPr>
      <w:r>
        <w:rPr>
          <w:lang w:val="sr-Cyrl-RS"/>
        </w:rPr>
        <w:t xml:space="preserve">            </w:t>
      </w:r>
      <w:r w:rsidRPr="00523472">
        <w:t>привременог коришћења</w:t>
      </w:r>
      <w:r w:rsidRPr="00523472">
        <w:rPr>
          <w:lang w:val="sr-Cyrl-RS"/>
        </w:rPr>
        <w:t>,</w:t>
      </w:r>
    </w:p>
    <w:p w:rsidR="00B25059" w:rsidRPr="00523472" w:rsidRDefault="00B25059" w:rsidP="00B25059">
      <w:pPr>
        <w:pStyle w:val="ListParagraph"/>
        <w:numPr>
          <w:ilvl w:val="0"/>
          <w:numId w:val="2"/>
        </w:numPr>
        <w:ind w:left="0" w:firstLine="0"/>
        <w:jc w:val="both"/>
      </w:pPr>
      <w:r w:rsidRPr="00523472">
        <w:rPr>
          <w:lang w:val="sr-Cyrl-RS"/>
        </w:rPr>
        <w:t>Постављање тенди,</w:t>
      </w:r>
      <w:r>
        <w:rPr>
          <w:lang w:val="sr-Cyrl-RS"/>
        </w:rPr>
        <w:t xml:space="preserve"> нивелета, </w:t>
      </w:r>
    </w:p>
    <w:p w:rsidR="00B25059" w:rsidRPr="00523472" w:rsidRDefault="00B25059" w:rsidP="00B25059">
      <w:pPr>
        <w:pStyle w:val="ListParagraph"/>
        <w:numPr>
          <w:ilvl w:val="0"/>
          <w:numId w:val="2"/>
        </w:numPr>
        <w:ind w:left="0" w:firstLine="0"/>
        <w:jc w:val="both"/>
      </w:pPr>
      <w:r w:rsidRPr="00523472">
        <w:rPr>
          <w:lang w:val="sr-Cyrl-CS"/>
        </w:rPr>
        <w:t>Коришћење полигона за практичну обуку возача,</w:t>
      </w:r>
    </w:p>
    <w:p w:rsidR="00B25059" w:rsidRPr="00523472" w:rsidRDefault="00B25059" w:rsidP="00B25059">
      <w:pPr>
        <w:pStyle w:val="ListParagraph"/>
        <w:numPr>
          <w:ilvl w:val="0"/>
          <w:numId w:val="2"/>
        </w:numPr>
        <w:ind w:left="0" w:firstLine="0"/>
        <w:jc w:val="both"/>
      </w:pPr>
      <w:r w:rsidRPr="00523472">
        <w:rPr>
          <w:lang w:val="sr-Cyrl-CS"/>
        </w:rPr>
        <w:t>Коришћење простора које нису посебне наведене у тарифном броју.</w:t>
      </w:r>
    </w:p>
    <w:p w:rsidR="00B25059" w:rsidRPr="007F737A" w:rsidRDefault="00B25059" w:rsidP="00B25059">
      <w:pPr>
        <w:jc w:val="both"/>
        <w:rPr>
          <w:lang w:val="sr-Cyrl-CS"/>
        </w:rPr>
      </w:pPr>
    </w:p>
    <w:p w:rsidR="00B25059" w:rsidRPr="00523472" w:rsidRDefault="00B25059" w:rsidP="00B25059">
      <w:pPr>
        <w:pStyle w:val="ListParagraph"/>
        <w:jc w:val="both"/>
        <w:rPr>
          <w:lang w:val="sr-Cyrl-RS"/>
        </w:rPr>
      </w:pPr>
    </w:p>
    <w:p w:rsidR="00B25059" w:rsidRPr="00523472" w:rsidRDefault="00B25059" w:rsidP="00B25059">
      <w:pPr>
        <w:pStyle w:val="ListParagraph"/>
        <w:numPr>
          <w:ilvl w:val="0"/>
          <w:numId w:val="1"/>
        </w:numPr>
        <w:jc w:val="center"/>
      </w:pPr>
      <w:r w:rsidRPr="00523472">
        <w:t>Накнада за коришћење јавног простора за оглашавање за сопствене потребе и потребе других лица</w:t>
      </w:r>
    </w:p>
    <w:p w:rsidR="00B25059" w:rsidRPr="00523472" w:rsidRDefault="00B25059" w:rsidP="00B25059">
      <w:pPr>
        <w:ind w:left="6120" w:firstLine="360"/>
        <w:rPr>
          <w:lang w:val="sr-Cyrl-RS"/>
        </w:rPr>
      </w:pPr>
      <w:r w:rsidRPr="00523472">
        <w:rPr>
          <w:lang w:val="sr-Cyrl-RS"/>
        </w:rPr>
        <w:t xml:space="preserve">   </w:t>
      </w:r>
    </w:p>
    <w:p w:rsidR="00B25059" w:rsidRPr="00523472" w:rsidRDefault="00B25059" w:rsidP="00B25059">
      <w:pPr>
        <w:jc w:val="center"/>
      </w:pPr>
      <w:r w:rsidRPr="00523472">
        <w:t>Члан 11.</w:t>
      </w:r>
    </w:p>
    <w:p w:rsidR="00B25059" w:rsidRPr="00523472" w:rsidRDefault="00B25059" w:rsidP="00B25059">
      <w:pPr>
        <w:ind w:firstLine="720"/>
        <w:jc w:val="both"/>
      </w:pPr>
      <w:r w:rsidRPr="00523472">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w:t>
      </w:r>
    </w:p>
    <w:p w:rsidR="00B25059" w:rsidRPr="00523472" w:rsidRDefault="00B25059" w:rsidP="00B25059">
      <w:pPr>
        <w:pStyle w:val="ListParagraph"/>
        <w:numPr>
          <w:ilvl w:val="0"/>
          <w:numId w:val="3"/>
        </w:numPr>
        <w:jc w:val="both"/>
      </w:pPr>
      <w:r w:rsidRPr="00523472">
        <w:t>Постављање рекламних штандова,</w:t>
      </w:r>
    </w:p>
    <w:p w:rsidR="00B25059" w:rsidRPr="00523472" w:rsidRDefault="00B25059" w:rsidP="00B25059">
      <w:pPr>
        <w:pStyle w:val="ListParagraph"/>
        <w:numPr>
          <w:ilvl w:val="0"/>
          <w:numId w:val="3"/>
        </w:numPr>
        <w:jc w:val="both"/>
      </w:pPr>
      <w:r w:rsidRPr="00523472">
        <w:t>Постављање билборда,</w:t>
      </w:r>
    </w:p>
    <w:p w:rsidR="00B25059" w:rsidRPr="00523472" w:rsidRDefault="00B25059" w:rsidP="00B25059">
      <w:pPr>
        <w:pStyle w:val="ListParagraph"/>
        <w:numPr>
          <w:ilvl w:val="0"/>
          <w:numId w:val="3"/>
        </w:numPr>
        <w:jc w:val="both"/>
      </w:pPr>
      <w:r w:rsidRPr="00523472">
        <w:t>Постављање табле, паноа или друге рекламне ознаке.</w:t>
      </w:r>
    </w:p>
    <w:p w:rsidR="00B25059" w:rsidRPr="00523472" w:rsidRDefault="00B25059" w:rsidP="00B25059">
      <w:pPr>
        <w:jc w:val="both"/>
      </w:pPr>
    </w:p>
    <w:p w:rsidR="00B25059" w:rsidRPr="00523472" w:rsidRDefault="00B25059" w:rsidP="00B25059">
      <w:pPr>
        <w:jc w:val="center"/>
      </w:pPr>
      <w:r w:rsidRPr="00523472">
        <w:t>3.Накнада за коришћење јавне површине по основу заузећа грађевинским материјалом и за извођење грађевинских радова и изградњу</w:t>
      </w:r>
    </w:p>
    <w:p w:rsidR="00B25059" w:rsidRPr="00523472" w:rsidRDefault="00B25059" w:rsidP="00B25059">
      <w:pPr>
        <w:jc w:val="center"/>
        <w:rPr>
          <w:lang w:val="sr-Cyrl-RS"/>
        </w:rPr>
      </w:pPr>
    </w:p>
    <w:p w:rsidR="00B25059" w:rsidRPr="00523472" w:rsidRDefault="00B25059" w:rsidP="00B25059">
      <w:pPr>
        <w:jc w:val="center"/>
      </w:pPr>
      <w:r w:rsidRPr="00523472">
        <w:t>Члан 12.</w:t>
      </w:r>
    </w:p>
    <w:p w:rsidR="00B25059" w:rsidRPr="00523472" w:rsidRDefault="00B25059" w:rsidP="00B25059">
      <w:pPr>
        <w:ind w:firstLine="720"/>
        <w:jc w:val="both"/>
      </w:pPr>
      <w:r w:rsidRPr="00523472">
        <w:t>Посебна накнада се плаћа за коришћење јавне површине по основу заузећа грађевинским материјалом и за извођење грађевинских радова и изградњу.</w:t>
      </w:r>
    </w:p>
    <w:p w:rsidR="00B25059" w:rsidRDefault="00B25059" w:rsidP="00B25059">
      <w:pPr>
        <w:jc w:val="center"/>
        <w:rPr>
          <w:lang w:val="sr-Cyrl-RS"/>
        </w:rPr>
      </w:pPr>
    </w:p>
    <w:p w:rsidR="00B25059" w:rsidRPr="00523472" w:rsidRDefault="00B25059" w:rsidP="00B25059">
      <w:pPr>
        <w:jc w:val="center"/>
        <w:rPr>
          <w:lang w:val="sr-Cyrl-RS"/>
        </w:rPr>
      </w:pPr>
    </w:p>
    <w:p w:rsidR="00B25059" w:rsidRPr="00523472" w:rsidRDefault="00B25059" w:rsidP="00B25059">
      <w:pPr>
        <w:jc w:val="center"/>
        <w:rPr>
          <w:lang w:val="sr-Cyrl-RS"/>
        </w:rPr>
      </w:pPr>
      <w:r w:rsidRPr="00523472">
        <w:rPr>
          <w:lang w:val="sr-Cyrl-RS"/>
        </w:rPr>
        <w:t>Члан 1</w:t>
      </w:r>
      <w:r w:rsidRPr="00523472">
        <w:t>3</w:t>
      </w:r>
      <w:r w:rsidRPr="00523472">
        <w:rPr>
          <w:lang w:val="sr-Cyrl-RS"/>
        </w:rPr>
        <w:t>.</w:t>
      </w:r>
    </w:p>
    <w:p w:rsidR="00B25059" w:rsidRPr="00523472" w:rsidRDefault="00B25059" w:rsidP="00B25059">
      <w:pPr>
        <w:jc w:val="both"/>
        <w:rPr>
          <w:lang w:val="sr-Cyrl-RS"/>
        </w:rPr>
      </w:pPr>
      <w:r w:rsidRPr="00523472">
        <w:rPr>
          <w:lang w:val="sr-Cyrl-CS"/>
        </w:rPr>
        <w:tab/>
      </w:r>
      <w:r w:rsidRPr="00523472">
        <w:t xml:space="preserve">Обвезник </w:t>
      </w:r>
      <w:r w:rsidRPr="00523472">
        <w:rPr>
          <w:lang w:val="sr-Cyrl-RS"/>
        </w:rPr>
        <w:t>накнаде</w:t>
      </w:r>
      <w:r w:rsidRPr="00523472">
        <w:t xml:space="preserve"> је дужан да пре коришћења права, предмета или услуга</w:t>
      </w:r>
      <w:r w:rsidRPr="00523472">
        <w:rPr>
          <w:lang w:val="sr-Cyrl-CS"/>
        </w:rPr>
        <w:t>,</w:t>
      </w:r>
      <w:r w:rsidRPr="00523472">
        <w:t xml:space="preserve"> за чије је коришћење прописано плаћање </w:t>
      </w:r>
      <w:r w:rsidRPr="00523472">
        <w:rPr>
          <w:lang w:val="sr-Cyrl-RS"/>
        </w:rPr>
        <w:t>накнаде</w:t>
      </w:r>
      <w:r w:rsidRPr="00523472">
        <w:t xml:space="preserve">, прибави одобрење надлежног </w:t>
      </w:r>
      <w:r w:rsidRPr="00523472">
        <w:rPr>
          <w:lang w:val="sr-Cyrl-CS"/>
        </w:rPr>
        <w:t>о</w:t>
      </w:r>
      <w:r w:rsidRPr="00523472">
        <w:t>де</w:t>
      </w:r>
      <w:r w:rsidRPr="00523472">
        <w:rPr>
          <w:lang w:val="sr-Cyrl-CS"/>
        </w:rPr>
        <w:t>љ</w:t>
      </w:r>
      <w:r w:rsidRPr="00523472">
        <w:t xml:space="preserve">ења </w:t>
      </w:r>
      <w:r w:rsidRPr="00523472">
        <w:rPr>
          <w:lang w:val="sr-Cyrl-CS"/>
        </w:rPr>
        <w:t>Градске</w:t>
      </w:r>
      <w:r w:rsidRPr="00523472">
        <w:t xml:space="preserve"> управе. </w:t>
      </w:r>
    </w:p>
    <w:p w:rsidR="00B25059" w:rsidRPr="00523472" w:rsidRDefault="00B25059" w:rsidP="00B25059">
      <w:pPr>
        <w:ind w:firstLine="720"/>
        <w:jc w:val="both"/>
        <w:rPr>
          <w:lang w:val="sr-Cyrl-CS"/>
        </w:rPr>
      </w:pPr>
      <w:r w:rsidRPr="00523472">
        <w:rPr>
          <w:lang w:val="sr-Cyrl-CS"/>
        </w:rPr>
        <w:t xml:space="preserve">Обвезник је дужан да уз захтев за одобрење достави следећу документацију: скицу објекта са тачним мерама и котама које дефинишу положај летње баште и доказ о уплати административне таксе.   </w:t>
      </w:r>
    </w:p>
    <w:p w:rsidR="00B25059" w:rsidRPr="00523472" w:rsidRDefault="00B25059" w:rsidP="00B25059">
      <w:pPr>
        <w:ind w:firstLine="720"/>
        <w:jc w:val="both"/>
      </w:pPr>
      <w:r w:rsidRPr="00523472">
        <w:rPr>
          <w:lang w:val="sr-Cyrl-CS"/>
        </w:rPr>
        <w:t>Градска</w:t>
      </w:r>
      <w:r w:rsidRPr="00523472">
        <w:t xml:space="preserve"> управа</w:t>
      </w:r>
      <w:r w:rsidRPr="00523472">
        <w:rPr>
          <w:lang w:val="sr-Cyrl-RS"/>
        </w:rPr>
        <w:t>,</w:t>
      </w:r>
      <w:r w:rsidRPr="00523472">
        <w:t xml:space="preserve"> Оде</w:t>
      </w:r>
      <w:r w:rsidRPr="00523472">
        <w:rPr>
          <w:lang w:val="sr-Cyrl-CS"/>
        </w:rPr>
        <w:t>љ</w:t>
      </w:r>
      <w:r w:rsidRPr="00523472">
        <w:t>ењ</w:t>
      </w:r>
      <w:r w:rsidRPr="00523472">
        <w:rPr>
          <w:lang w:val="sr-Cyrl-CS"/>
        </w:rPr>
        <w:t>е</w:t>
      </w:r>
      <w:r w:rsidRPr="00523472">
        <w:t xml:space="preserve">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дужно је да један примерак одобрења достави Оде</w:t>
      </w:r>
      <w:r w:rsidRPr="00523472">
        <w:rPr>
          <w:lang w:val="sr-Cyrl-CS"/>
        </w:rPr>
        <w:t>љ</w:t>
      </w:r>
      <w:r w:rsidRPr="00523472">
        <w:t>ењу локалне пореске администрације</w:t>
      </w:r>
      <w:r w:rsidRPr="00523472">
        <w:rPr>
          <w:lang w:val="sr-Cyrl-CS"/>
        </w:rPr>
        <w:t xml:space="preserve"> </w:t>
      </w:r>
      <w:r w:rsidRPr="00523472">
        <w:t>ради утврђивања и наплате</w:t>
      </w:r>
      <w:r w:rsidRPr="00523472">
        <w:rPr>
          <w:lang w:val="sr-Cyrl-CS"/>
        </w:rPr>
        <w:t xml:space="preserve"> </w:t>
      </w:r>
      <w:r w:rsidRPr="00523472">
        <w:rPr>
          <w:lang w:val="sr-Cyrl-RS"/>
        </w:rPr>
        <w:t>накнаде</w:t>
      </w:r>
      <w:r w:rsidRPr="00523472">
        <w:t xml:space="preserve"> </w:t>
      </w:r>
      <w:r w:rsidRPr="00523472">
        <w:rPr>
          <w:lang w:val="sr-Cyrl-CS"/>
        </w:rPr>
        <w:t>са следећим подацима</w:t>
      </w:r>
      <w:r w:rsidRPr="00523472">
        <w:t xml:space="preserve">: </w:t>
      </w:r>
    </w:p>
    <w:p w:rsidR="00B25059" w:rsidRPr="00523472" w:rsidRDefault="00B25059" w:rsidP="00B25059">
      <w:pPr>
        <w:jc w:val="both"/>
      </w:pPr>
      <w:r w:rsidRPr="00523472">
        <w:t>- за правна лица: порески идентификациони број, матични број правног лица и текући рачун, тачна адреса седишта правног лица, делатност</w:t>
      </w:r>
      <w:r w:rsidRPr="00523472">
        <w:rPr>
          <w:lang w:val="sr-Cyrl-CS"/>
        </w:rPr>
        <w:t>;</w:t>
      </w:r>
      <w:r w:rsidRPr="00523472">
        <w:t xml:space="preserve"> </w:t>
      </w:r>
    </w:p>
    <w:p w:rsidR="00B25059" w:rsidRPr="00523472" w:rsidRDefault="00B25059" w:rsidP="00B25059">
      <w:pPr>
        <w:jc w:val="both"/>
      </w:pPr>
      <w:r w:rsidRPr="00523472">
        <w:t xml:space="preserve">- за предузетнике: порески идентификациони број, назив радње са тачном адресом, делатност, име и презиме власника, ЈМБГ и број личне карте, текући рачун. </w:t>
      </w:r>
    </w:p>
    <w:p w:rsidR="00B25059" w:rsidRPr="00523472" w:rsidRDefault="00B25059" w:rsidP="00B25059">
      <w:pPr>
        <w:jc w:val="both"/>
      </w:pPr>
      <w:r w:rsidRPr="00523472">
        <w:t>- за физичка лица: име и презиме, ЈМБГ, број личне карте и улицу и број.</w:t>
      </w:r>
    </w:p>
    <w:p w:rsidR="00B25059" w:rsidRPr="00523472" w:rsidRDefault="00B25059" w:rsidP="00B25059">
      <w:pPr>
        <w:jc w:val="both"/>
        <w:rPr>
          <w:lang w:val="sr-Cyrl-RS"/>
        </w:rPr>
      </w:pPr>
    </w:p>
    <w:p w:rsidR="00B25059" w:rsidRPr="00523472" w:rsidRDefault="00B25059" w:rsidP="00B25059">
      <w:pPr>
        <w:jc w:val="center"/>
      </w:pPr>
      <w:r w:rsidRPr="00523472">
        <w:t>Ослобађања</w:t>
      </w:r>
    </w:p>
    <w:p w:rsidR="00B25059" w:rsidRPr="00523472" w:rsidRDefault="00B25059" w:rsidP="00B25059">
      <w:pPr>
        <w:jc w:val="center"/>
        <w:rPr>
          <w:lang w:val="sr-Cyrl-RS"/>
        </w:rPr>
      </w:pPr>
    </w:p>
    <w:p w:rsidR="00B25059" w:rsidRPr="00523472" w:rsidRDefault="00B25059" w:rsidP="00B25059">
      <w:pPr>
        <w:jc w:val="center"/>
      </w:pPr>
      <w:r w:rsidRPr="00523472">
        <w:lastRenderedPageBreak/>
        <w:t>Члан 14.</w:t>
      </w:r>
    </w:p>
    <w:p w:rsidR="00B25059" w:rsidRPr="00523472" w:rsidRDefault="00B25059" w:rsidP="00B25059">
      <w:pPr>
        <w:jc w:val="both"/>
        <w:rPr>
          <w:lang w:val="sr-Cyrl-RS"/>
        </w:rPr>
      </w:pPr>
      <w:r w:rsidRPr="00523472">
        <w:tab/>
        <w:t>Накнаду за коришћење јавних површина не плаћају директни и индиректни корисници буџетских средстава.</w:t>
      </w:r>
    </w:p>
    <w:p w:rsidR="00B25059" w:rsidRPr="00523472" w:rsidRDefault="00B25059" w:rsidP="00B25059">
      <w:pPr>
        <w:jc w:val="center"/>
        <w:rPr>
          <w:rFonts w:eastAsia="Arial"/>
          <w:lang w:val="sr-Cyrl-RS"/>
        </w:rPr>
      </w:pPr>
    </w:p>
    <w:p w:rsidR="00B25059" w:rsidRPr="00523472" w:rsidRDefault="00B25059" w:rsidP="00B25059">
      <w:pPr>
        <w:jc w:val="center"/>
        <w:rPr>
          <w:rFonts w:eastAsia="Arial"/>
          <w:lang w:val="sr-Cyrl-RS"/>
        </w:rPr>
      </w:pPr>
      <w:r w:rsidRPr="00523472">
        <w:rPr>
          <w:rFonts w:eastAsia="Arial"/>
          <w:lang w:val="sr-Cyrl-RS"/>
        </w:rPr>
        <w:t>Члан 15.</w:t>
      </w:r>
    </w:p>
    <w:p w:rsidR="00B25059" w:rsidRPr="00523472" w:rsidRDefault="00B25059" w:rsidP="00B25059">
      <w:pPr>
        <w:ind w:firstLine="720"/>
        <w:jc w:val="both"/>
        <w:rPr>
          <w:lang w:val="sr-Cyrl-RS"/>
        </w:rPr>
      </w:pPr>
      <w:r w:rsidRPr="00523472">
        <w:rPr>
          <w:rFonts w:eastAsia="Arial"/>
        </w:rPr>
        <w:t>У погледу начина утврђивања накнаде, обрачунавање застарелости, наплате, рокова за плаћање, обрачунавање камате и осталог што није посебно прописано овом одлуком, сходно се примењују одредбе Закона о пореском поступку и пореској администрацији</w:t>
      </w:r>
      <w:r w:rsidRPr="00523472">
        <w:rPr>
          <w:rFonts w:eastAsia="Arial"/>
          <w:lang w:val="sr-Cyrl-RS"/>
        </w:rPr>
        <w:t>.</w:t>
      </w:r>
    </w:p>
    <w:p w:rsidR="00B25059" w:rsidRPr="00523472" w:rsidRDefault="00B25059" w:rsidP="00B25059">
      <w:pPr>
        <w:jc w:val="center"/>
        <w:rPr>
          <w:rFonts w:eastAsia="Arial"/>
        </w:rPr>
      </w:pPr>
    </w:p>
    <w:p w:rsidR="00B25059" w:rsidRPr="00523472" w:rsidRDefault="00B25059" w:rsidP="00B25059">
      <w:pPr>
        <w:rPr>
          <w:rFonts w:eastAsia="Arial"/>
        </w:rPr>
      </w:pPr>
    </w:p>
    <w:p w:rsidR="00B25059" w:rsidRPr="00523472" w:rsidRDefault="00B25059" w:rsidP="00B25059">
      <w:pPr>
        <w:jc w:val="center"/>
        <w:rPr>
          <w:rFonts w:eastAsia="Arial"/>
          <w:lang w:val="sr-Cyrl-RS"/>
        </w:rPr>
      </w:pPr>
      <w:r w:rsidRPr="00523472">
        <w:rPr>
          <w:rFonts w:eastAsia="Arial"/>
          <w:lang w:val="sr-Cyrl-RS"/>
        </w:rPr>
        <w:t>Члан 1</w:t>
      </w:r>
      <w:r w:rsidRPr="00523472">
        <w:rPr>
          <w:rFonts w:eastAsia="Arial"/>
        </w:rPr>
        <w:t>6</w:t>
      </w:r>
      <w:r w:rsidRPr="00523472">
        <w:rPr>
          <w:rFonts w:eastAsia="Arial"/>
          <w:lang w:val="sr-Cyrl-RS"/>
        </w:rPr>
        <w:t>.</w:t>
      </w:r>
    </w:p>
    <w:p w:rsidR="00B25059" w:rsidRPr="00523472" w:rsidRDefault="00B25059" w:rsidP="00B25059">
      <w:pPr>
        <w:jc w:val="both"/>
        <w:rPr>
          <w:rFonts w:eastAsia="Arial"/>
          <w:lang w:val="sr-Cyrl-RS"/>
        </w:rPr>
      </w:pPr>
      <w:r w:rsidRPr="00523472">
        <w:rPr>
          <w:rFonts w:eastAsia="Arial"/>
        </w:rPr>
        <w:tab/>
        <w:t>Обвезници накнаде за коришћење јавних површина дужни су да поднесу пријаву за утврђивање накнаде надлежном органу у роковима прописаним таксеном тарифом, која је саставни део ове одлуке.</w:t>
      </w:r>
    </w:p>
    <w:p w:rsidR="00B25059" w:rsidRPr="00523472" w:rsidRDefault="00B25059" w:rsidP="00B25059">
      <w:pPr>
        <w:jc w:val="both"/>
        <w:rPr>
          <w:lang w:val="sr-Cyrl-CS"/>
        </w:rPr>
      </w:pPr>
      <w:r w:rsidRPr="00523472">
        <w:t xml:space="preserve"> </w:t>
      </w:r>
      <w:r w:rsidRPr="00523472">
        <w:rPr>
          <w:lang w:val="sr-Cyrl-CS"/>
        </w:rPr>
        <w:tab/>
      </w:r>
      <w:r w:rsidRPr="00523472">
        <w:t xml:space="preserve">Обвезник локалне </w:t>
      </w:r>
      <w:r w:rsidRPr="00523472">
        <w:rPr>
          <w:lang w:val="sr-Cyrl-RS"/>
        </w:rPr>
        <w:t xml:space="preserve">накнаде </w:t>
      </w:r>
      <w:r w:rsidRPr="00523472">
        <w:t>дужан је да сваку насталу промену пријави надлежном органу у року од 15 дана од дана настале промене</w:t>
      </w:r>
      <w:r w:rsidRPr="00523472">
        <w:rPr>
          <w:lang w:val="sr-Cyrl-CS"/>
        </w:rPr>
        <w:t xml:space="preserve">, осим за тарифни број 1.4. где је обвезник дужан да обавести Одељење за урбанизам, комунално-стамбене делатности и грађевинарство пре престанка коришђења </w:t>
      </w:r>
      <w:r w:rsidRPr="00523472">
        <w:t>права, предмета и услуга</w:t>
      </w:r>
      <w:r w:rsidRPr="00523472">
        <w:rPr>
          <w:lang w:val="sr-Cyrl-CS"/>
        </w:rPr>
        <w:t xml:space="preserve">. </w:t>
      </w:r>
    </w:p>
    <w:p w:rsidR="00B25059" w:rsidRPr="00523472" w:rsidRDefault="00B25059" w:rsidP="00B25059">
      <w:pPr>
        <w:jc w:val="both"/>
        <w:rPr>
          <w:lang w:val="sr-Cyrl-RS"/>
        </w:rPr>
      </w:pPr>
      <w:r w:rsidRPr="00523472">
        <w:t xml:space="preserve"> </w:t>
      </w:r>
      <w:r w:rsidRPr="00523472">
        <w:rPr>
          <w:lang w:val="sr-Cyrl-CS"/>
        </w:rPr>
        <w:tab/>
      </w:r>
      <w:r w:rsidRPr="00523472">
        <w:t xml:space="preserve">У случају да обвезник не поднесе пријаву у року утврђеном у ставу 1. овог члана, надлежни орган ће донети </w:t>
      </w:r>
      <w:r w:rsidRPr="00523472">
        <w:rPr>
          <w:lang w:val="sr-Cyrl-CS"/>
        </w:rPr>
        <w:t>р</w:t>
      </w:r>
      <w:r w:rsidRPr="00523472">
        <w:t>ешење на основу података надлежног органа који врш</w:t>
      </w:r>
      <w:r w:rsidRPr="00523472">
        <w:rPr>
          <w:lang w:val="sr-Cyrl-CS"/>
        </w:rPr>
        <w:t>и</w:t>
      </w:r>
      <w:r w:rsidRPr="00523472">
        <w:t xml:space="preserve"> упис у регистар и на основу службених података којима располаже </w:t>
      </w:r>
      <w:r w:rsidRPr="00523472">
        <w:rPr>
          <w:lang w:val="sr-Cyrl-CS"/>
        </w:rPr>
        <w:t>Градска</w:t>
      </w:r>
      <w:r w:rsidRPr="00523472">
        <w:t xml:space="preserve"> управа, државни </w:t>
      </w:r>
      <w:r w:rsidRPr="00523472">
        <w:rPr>
          <w:lang w:val="sr-Cyrl-CS"/>
        </w:rPr>
        <w:t xml:space="preserve">орган </w:t>
      </w:r>
      <w:r w:rsidRPr="00523472">
        <w:t xml:space="preserve">или други орган локалне самоуправе. </w:t>
      </w:r>
    </w:p>
    <w:p w:rsidR="00B25059" w:rsidRPr="00523472" w:rsidRDefault="00B25059" w:rsidP="00B25059">
      <w:pPr>
        <w:jc w:val="both"/>
        <w:rPr>
          <w:lang w:val="sr-Cyrl-RS"/>
        </w:rPr>
      </w:pPr>
    </w:p>
    <w:p w:rsidR="00B25059" w:rsidRPr="00523472" w:rsidRDefault="00B25059" w:rsidP="00B25059">
      <w:pPr>
        <w:jc w:val="center"/>
        <w:rPr>
          <w:rFonts w:eastAsia="Arial"/>
          <w:lang w:val="sr-Cyrl-RS"/>
        </w:rPr>
      </w:pPr>
      <w:r w:rsidRPr="00523472">
        <w:rPr>
          <w:rFonts w:eastAsia="Arial"/>
          <w:lang w:val="sr-Cyrl-RS"/>
        </w:rPr>
        <w:t>Члан 1</w:t>
      </w:r>
      <w:r w:rsidRPr="00523472">
        <w:rPr>
          <w:rFonts w:eastAsia="Arial"/>
        </w:rPr>
        <w:t>7</w:t>
      </w:r>
      <w:r w:rsidRPr="00523472">
        <w:rPr>
          <w:rFonts w:eastAsia="Arial"/>
          <w:lang w:val="sr-Cyrl-RS"/>
        </w:rPr>
        <w:t>.</w:t>
      </w:r>
    </w:p>
    <w:p w:rsidR="00B25059" w:rsidRPr="00523472" w:rsidRDefault="00B25059" w:rsidP="00B25059">
      <w:pPr>
        <w:ind w:left="29"/>
        <w:jc w:val="both"/>
      </w:pPr>
      <w:r w:rsidRPr="00523472">
        <w:rPr>
          <w:rFonts w:eastAsia="Arial"/>
        </w:rPr>
        <w:tab/>
        <w:t xml:space="preserve">Накнаде за коришћење јавних површина, представљају приход буџета </w:t>
      </w:r>
      <w:r w:rsidRPr="00523472">
        <w:rPr>
          <w:rFonts w:eastAsia="Arial"/>
          <w:lang w:val="sr-Cyrl-RS"/>
        </w:rPr>
        <w:t>Града Прокупља</w:t>
      </w:r>
      <w:r w:rsidRPr="00523472">
        <w:rPr>
          <w:rFonts w:eastAsia="Arial"/>
        </w:rPr>
        <w:t>.</w:t>
      </w:r>
    </w:p>
    <w:p w:rsidR="00B25059" w:rsidRPr="00523472" w:rsidRDefault="00B25059" w:rsidP="00B25059">
      <w:pPr>
        <w:jc w:val="center"/>
        <w:rPr>
          <w:lang w:val="sr-Cyrl-RS"/>
        </w:rPr>
      </w:pPr>
    </w:p>
    <w:p w:rsidR="00B25059" w:rsidRPr="00523472" w:rsidRDefault="00B25059" w:rsidP="00B25059">
      <w:pPr>
        <w:jc w:val="center"/>
        <w:rPr>
          <w:lang w:val="sr-Cyrl-RS"/>
        </w:rPr>
      </w:pPr>
      <w:r w:rsidRPr="00523472">
        <w:t>Прелазне и завршне одредбе</w:t>
      </w:r>
    </w:p>
    <w:p w:rsidR="00B25059" w:rsidRDefault="00B25059" w:rsidP="00B25059">
      <w:pPr>
        <w:jc w:val="center"/>
      </w:pPr>
    </w:p>
    <w:p w:rsidR="00B25059" w:rsidRPr="00523472" w:rsidRDefault="00B25059" w:rsidP="00B25059">
      <w:pPr>
        <w:jc w:val="center"/>
      </w:pPr>
      <w:r w:rsidRPr="00523472">
        <w:t>Члан 18.</w:t>
      </w:r>
    </w:p>
    <w:p w:rsidR="00B25059" w:rsidRPr="00523472" w:rsidRDefault="00B25059" w:rsidP="00B25059">
      <w:pPr>
        <w:jc w:val="both"/>
        <w:rPr>
          <w:lang w:val="sr-Cyrl-RS"/>
        </w:rPr>
      </w:pPr>
      <w:r w:rsidRPr="00523472">
        <w:tab/>
        <w:t>Ова Одлука  ступа на снагу наредног дана од дана објављивања у „Службеном листу града Прокупља”.</w:t>
      </w:r>
    </w:p>
    <w:p w:rsidR="00B25059" w:rsidRPr="00523472" w:rsidRDefault="00B25059" w:rsidP="00B25059">
      <w:pPr>
        <w:jc w:val="center"/>
      </w:pPr>
      <w:r w:rsidRPr="00523472">
        <w:t>Члан 19.</w:t>
      </w:r>
    </w:p>
    <w:p w:rsidR="00B25059" w:rsidRPr="00523472" w:rsidRDefault="00B25059" w:rsidP="00B25059">
      <w:pPr>
        <w:jc w:val="both"/>
        <w:rPr>
          <w:lang w:val="sr-Cyrl-CS"/>
        </w:rPr>
      </w:pPr>
      <w:r w:rsidRPr="00523472">
        <w:rPr>
          <w:lang w:val="sr-Cyrl-CS"/>
        </w:rPr>
        <w:tab/>
        <w:t xml:space="preserve">Корисници јавних површина, који исте користе на дан ступања на снагу ове одлуке, настављају да користе одобрене јавне површине до истека периода </w:t>
      </w:r>
    </w:p>
    <w:p w:rsidR="00B25059" w:rsidRPr="00523472" w:rsidRDefault="00B25059" w:rsidP="00B25059">
      <w:pPr>
        <w:jc w:val="both"/>
        <w:rPr>
          <w:lang w:val="sr-Cyrl-RS"/>
        </w:rPr>
      </w:pPr>
      <w:r w:rsidRPr="00523472">
        <w:rPr>
          <w:lang w:val="sr-Cyrl-CS"/>
        </w:rPr>
        <w:t>закупа.</w:t>
      </w:r>
      <w:r w:rsidRPr="00523472">
        <w:t xml:space="preserve"> </w:t>
      </w:r>
    </w:p>
    <w:p w:rsidR="00B25059" w:rsidRPr="00B25059" w:rsidRDefault="00B25059" w:rsidP="00B25059">
      <w:pPr>
        <w:jc w:val="both"/>
        <w:rPr>
          <w:lang w:val="sr-Latn-RS"/>
        </w:rPr>
      </w:pPr>
    </w:p>
    <w:p w:rsidR="00B25059" w:rsidRPr="00523472" w:rsidRDefault="00B25059" w:rsidP="00B25059">
      <w:pPr>
        <w:jc w:val="center"/>
      </w:pPr>
      <w:r w:rsidRPr="00523472">
        <w:t>Члан 20.</w:t>
      </w:r>
    </w:p>
    <w:p w:rsidR="00B25059" w:rsidRPr="00523472" w:rsidRDefault="00B25059" w:rsidP="00B25059">
      <w:pPr>
        <w:jc w:val="both"/>
      </w:pPr>
    </w:p>
    <w:p w:rsidR="00B25059" w:rsidRPr="00523472" w:rsidRDefault="00B25059" w:rsidP="00B25059">
      <w:pPr>
        <w:ind w:firstLine="720"/>
        <w:jc w:val="both"/>
        <w:rPr>
          <w:lang w:val="sr-Cyrl-CS"/>
        </w:rPr>
      </w:pPr>
      <w:r w:rsidRPr="00523472">
        <w:t xml:space="preserve">Ступањем на снагу ове </w:t>
      </w:r>
      <w:r w:rsidRPr="00523472">
        <w:rPr>
          <w:lang w:val="sr-Cyrl-CS"/>
        </w:rPr>
        <w:t>О</w:t>
      </w:r>
      <w:r w:rsidRPr="00523472">
        <w:t>длуке престај</w:t>
      </w:r>
      <w:r w:rsidRPr="00523472">
        <w:rPr>
          <w:lang w:val="sr-Cyrl-CS"/>
        </w:rPr>
        <w:t>е</w:t>
      </w:r>
      <w:r w:rsidRPr="00523472">
        <w:t xml:space="preserve"> да важ</w:t>
      </w:r>
      <w:r w:rsidRPr="00523472">
        <w:rPr>
          <w:lang w:val="sr-Cyrl-CS"/>
        </w:rPr>
        <w:t>и</w:t>
      </w:r>
      <w:r w:rsidRPr="00523472">
        <w:t xml:space="preserve"> Одлука о локалним комуналним таксама („Службени лист </w:t>
      </w:r>
      <w:r w:rsidRPr="00523472">
        <w:rPr>
          <w:lang w:val="sr-Cyrl-CS"/>
        </w:rPr>
        <w:t>О</w:t>
      </w:r>
      <w:r w:rsidRPr="00523472">
        <w:t xml:space="preserve">пштине </w:t>
      </w:r>
      <w:r w:rsidRPr="00523472">
        <w:rPr>
          <w:lang w:val="sr-Cyrl-CS"/>
        </w:rPr>
        <w:t>Прокупље</w:t>
      </w:r>
      <w:r w:rsidRPr="00523472">
        <w:t xml:space="preserve">“ бр. </w:t>
      </w:r>
      <w:r>
        <w:rPr>
          <w:lang w:val="sr-Latn-RS"/>
        </w:rPr>
        <w:t>66/2023</w:t>
      </w:r>
      <w:r w:rsidRPr="00523472">
        <w:t>).</w:t>
      </w:r>
    </w:p>
    <w:p w:rsidR="00B25059" w:rsidRDefault="00B25059" w:rsidP="00B25059">
      <w:pPr>
        <w:pStyle w:val="Default"/>
        <w:jc w:val="both"/>
        <w:rPr>
          <w:rFonts w:ascii="Times New Roman" w:hAnsi="Times New Roman" w:cs="Times New Roman"/>
        </w:rPr>
      </w:pPr>
    </w:p>
    <w:p w:rsidR="00B25059" w:rsidRPr="00523472" w:rsidRDefault="00B25059" w:rsidP="00B25059">
      <w:pPr>
        <w:jc w:val="center"/>
      </w:pPr>
      <w:r>
        <w:t>Члан 21</w:t>
      </w:r>
      <w:r w:rsidRPr="00523472">
        <w:t>.</w:t>
      </w:r>
    </w:p>
    <w:p w:rsidR="00B25059" w:rsidRPr="00523472" w:rsidRDefault="00B25059" w:rsidP="00B25059">
      <w:pPr>
        <w:pStyle w:val="Default"/>
        <w:jc w:val="both"/>
        <w:rPr>
          <w:rFonts w:ascii="Times New Roman" w:hAnsi="Times New Roman" w:cs="Times New Roman"/>
        </w:rPr>
      </w:pPr>
    </w:p>
    <w:p w:rsidR="00B25059" w:rsidRPr="00213639" w:rsidRDefault="00B25059" w:rsidP="00B25059">
      <w:pPr>
        <w:widowControl w:val="0"/>
        <w:autoSpaceDE w:val="0"/>
        <w:autoSpaceDN w:val="0"/>
        <w:adjustRightInd w:val="0"/>
        <w:ind w:firstLine="708"/>
        <w:jc w:val="both"/>
      </w:pPr>
      <w:r w:rsidRPr="00213639">
        <w:t xml:space="preserve">Ова Одлука  ступа на снагу наредног дана од дана објављивања у „Службеном листу </w:t>
      </w:r>
      <w:r>
        <w:rPr>
          <w:lang w:val="sr-Cyrl-RS"/>
        </w:rPr>
        <w:t>града</w:t>
      </w:r>
      <w:r w:rsidRPr="00213639">
        <w:t xml:space="preserve"> Прокупљ</w:t>
      </w:r>
      <w:r>
        <w:rPr>
          <w:lang w:val="sr-Cyrl-RS"/>
        </w:rPr>
        <w:t>а</w:t>
      </w:r>
      <w:r w:rsidRPr="00213639">
        <w:t>”, а</w:t>
      </w:r>
      <w:r>
        <w:t xml:space="preserve"> примењује се од 1. јануара 202</w:t>
      </w:r>
      <w:r>
        <w:rPr>
          <w:lang w:val="sr-Latn-RS"/>
        </w:rPr>
        <w:t>5</w:t>
      </w:r>
      <w:r w:rsidRPr="00213639">
        <w:t>. године.</w:t>
      </w:r>
    </w:p>
    <w:p w:rsidR="00B25059" w:rsidRPr="00213639" w:rsidRDefault="00B25059" w:rsidP="00B25059">
      <w:pPr>
        <w:widowControl w:val="0"/>
        <w:autoSpaceDE w:val="0"/>
        <w:autoSpaceDN w:val="0"/>
        <w:adjustRightInd w:val="0"/>
        <w:jc w:val="center"/>
      </w:pPr>
      <w:r w:rsidRPr="00213639">
        <w:t> </w:t>
      </w:r>
    </w:p>
    <w:p w:rsidR="00B25059" w:rsidRPr="00213639" w:rsidRDefault="00B25059" w:rsidP="00B25059">
      <w:pPr>
        <w:widowControl w:val="0"/>
        <w:autoSpaceDE w:val="0"/>
        <w:autoSpaceDN w:val="0"/>
        <w:adjustRightInd w:val="0"/>
        <w:ind w:left="360" w:right="180"/>
        <w:jc w:val="center"/>
      </w:pPr>
    </w:p>
    <w:p w:rsidR="00B25059" w:rsidRPr="00213639" w:rsidRDefault="00B25059" w:rsidP="00B25059">
      <w:pPr>
        <w:widowControl w:val="0"/>
        <w:autoSpaceDE w:val="0"/>
        <w:autoSpaceDN w:val="0"/>
        <w:adjustRightInd w:val="0"/>
        <w:ind w:right="180"/>
      </w:pPr>
    </w:p>
    <w:p w:rsidR="00B25059" w:rsidRPr="00213639" w:rsidRDefault="00B25059" w:rsidP="00B25059">
      <w:pPr>
        <w:widowControl w:val="0"/>
        <w:autoSpaceDE w:val="0"/>
        <w:autoSpaceDN w:val="0"/>
        <w:adjustRightInd w:val="0"/>
        <w:ind w:left="360" w:right="180"/>
        <w:jc w:val="center"/>
      </w:pPr>
    </w:p>
    <w:p w:rsidR="00B25059" w:rsidRPr="00213639" w:rsidRDefault="00B25059" w:rsidP="00B25059">
      <w:pPr>
        <w:widowControl w:val="0"/>
        <w:autoSpaceDE w:val="0"/>
        <w:autoSpaceDN w:val="0"/>
        <w:adjustRightInd w:val="0"/>
        <w:ind w:left="360" w:right="180"/>
        <w:jc w:val="center"/>
      </w:pPr>
    </w:p>
    <w:p w:rsidR="00B25059" w:rsidRPr="00213639" w:rsidRDefault="00B25059" w:rsidP="00B25059">
      <w:pPr>
        <w:widowControl w:val="0"/>
        <w:autoSpaceDE w:val="0"/>
        <w:autoSpaceDN w:val="0"/>
        <w:adjustRightInd w:val="0"/>
        <w:jc w:val="both"/>
        <w:rPr>
          <w:color w:val="000000"/>
        </w:rPr>
      </w:pPr>
      <w:r w:rsidRPr="00213639">
        <w:rPr>
          <w:color w:val="000000"/>
        </w:rPr>
        <w:lastRenderedPageBreak/>
        <w:t xml:space="preserve">Број: </w:t>
      </w:r>
    </w:p>
    <w:p w:rsidR="00B25059" w:rsidRPr="00213639" w:rsidRDefault="00B25059" w:rsidP="00B25059">
      <w:pPr>
        <w:widowControl w:val="0"/>
        <w:autoSpaceDE w:val="0"/>
        <w:autoSpaceDN w:val="0"/>
        <w:adjustRightInd w:val="0"/>
        <w:jc w:val="both"/>
        <w:rPr>
          <w:color w:val="000000"/>
        </w:rPr>
      </w:pPr>
      <w:r w:rsidRPr="00213639">
        <w:rPr>
          <w:color w:val="000000"/>
        </w:rPr>
        <w:t xml:space="preserve">У Прокупљу,  </w:t>
      </w:r>
    </w:p>
    <w:p w:rsidR="00B25059" w:rsidRPr="00213639" w:rsidRDefault="00B25059" w:rsidP="00B25059">
      <w:pPr>
        <w:widowControl w:val="0"/>
        <w:autoSpaceDE w:val="0"/>
        <w:autoSpaceDN w:val="0"/>
        <w:adjustRightInd w:val="0"/>
        <w:jc w:val="both"/>
        <w:rPr>
          <w:lang w:val="sr-Cyrl-RS"/>
        </w:rPr>
      </w:pPr>
      <w:r w:rsidRPr="00213639">
        <w:rPr>
          <w:color w:val="000000"/>
        </w:rPr>
        <w:t xml:space="preserve">СКУПШТИНА </w:t>
      </w:r>
      <w:r w:rsidRPr="00213639">
        <w:rPr>
          <w:color w:val="000000"/>
          <w:lang w:val="sr-Cyrl-RS"/>
        </w:rPr>
        <w:t>ГРАДА</w:t>
      </w:r>
      <w:r w:rsidRPr="00213639">
        <w:rPr>
          <w:color w:val="000000"/>
        </w:rPr>
        <w:t xml:space="preserve"> ПРОКУПЉ</w:t>
      </w:r>
      <w:r w:rsidRPr="00213639">
        <w:rPr>
          <w:color w:val="000000"/>
          <w:lang w:val="sr-Cyrl-RS"/>
        </w:rPr>
        <w:t>А</w:t>
      </w:r>
    </w:p>
    <w:p w:rsidR="00B25059" w:rsidRDefault="00B25059" w:rsidP="00B25059">
      <w:pPr>
        <w:widowControl w:val="0"/>
        <w:autoSpaceDE w:val="0"/>
        <w:autoSpaceDN w:val="0"/>
        <w:adjustRightInd w:val="0"/>
        <w:rPr>
          <w:lang w:val="sr-Cyrl-RS"/>
        </w:rPr>
      </w:pPr>
      <w:r w:rsidRPr="00213639">
        <w:tab/>
      </w:r>
      <w:r w:rsidRPr="00213639">
        <w:tab/>
        <w:t xml:space="preserve">                                                 </w:t>
      </w:r>
    </w:p>
    <w:p w:rsidR="00B25059" w:rsidRDefault="00B25059" w:rsidP="00B25059">
      <w:pPr>
        <w:widowControl w:val="0"/>
        <w:autoSpaceDE w:val="0"/>
        <w:autoSpaceDN w:val="0"/>
        <w:adjustRightInd w:val="0"/>
        <w:rPr>
          <w:lang w:val="sr-Cyrl-RS"/>
        </w:rPr>
      </w:pPr>
    </w:p>
    <w:p w:rsidR="00B25059" w:rsidRPr="00213639" w:rsidRDefault="00B25059" w:rsidP="00B25059">
      <w:pPr>
        <w:widowControl w:val="0"/>
        <w:autoSpaceDE w:val="0"/>
        <w:autoSpaceDN w:val="0"/>
        <w:adjustRightInd w:val="0"/>
        <w:rPr>
          <w:lang w:val="sr-Cyrl-RS"/>
        </w:rPr>
      </w:pPr>
      <w:r w:rsidRPr="00213639">
        <w:t xml:space="preserve">                          </w:t>
      </w:r>
    </w:p>
    <w:p w:rsidR="00B25059" w:rsidRPr="00213639" w:rsidRDefault="00B25059" w:rsidP="00B25059">
      <w:pPr>
        <w:widowControl w:val="0"/>
        <w:autoSpaceDE w:val="0"/>
        <w:autoSpaceDN w:val="0"/>
        <w:adjustRightInd w:val="0"/>
      </w:pPr>
      <w:r w:rsidRPr="00213639">
        <w:rPr>
          <w:lang w:val="sr-Cyrl-RS"/>
        </w:rPr>
        <w:t xml:space="preserve">                                                                </w:t>
      </w:r>
      <w:r>
        <w:rPr>
          <w:lang w:val="sr-Latn-RS"/>
        </w:rPr>
        <w:tab/>
      </w:r>
      <w:r>
        <w:rPr>
          <w:lang w:val="sr-Latn-RS"/>
        </w:rPr>
        <w:tab/>
      </w:r>
      <w:r>
        <w:rPr>
          <w:lang w:val="sr-Latn-RS"/>
        </w:rPr>
        <w:tab/>
      </w:r>
      <w:r>
        <w:rPr>
          <w:lang w:val="sr-Latn-RS"/>
        </w:rPr>
        <w:tab/>
      </w:r>
      <w:r>
        <w:rPr>
          <w:lang w:val="sr-Latn-RS"/>
        </w:rPr>
        <w:tab/>
      </w:r>
      <w:r w:rsidRPr="00213639">
        <w:t xml:space="preserve">ПРЕДСЕДНИК </w:t>
      </w:r>
    </w:p>
    <w:p w:rsidR="00B25059" w:rsidRPr="00213639" w:rsidRDefault="00B25059" w:rsidP="00B25059">
      <w:pPr>
        <w:widowControl w:val="0"/>
        <w:autoSpaceDE w:val="0"/>
        <w:autoSpaceDN w:val="0"/>
        <w:adjustRightInd w:val="0"/>
        <w:rPr>
          <w:lang w:val="sr-Cyrl-RS"/>
        </w:rPr>
      </w:pPr>
      <w:r w:rsidRPr="00213639">
        <w:tab/>
      </w:r>
      <w:r w:rsidRPr="00213639">
        <w:tab/>
      </w:r>
      <w:r w:rsidRPr="00213639">
        <w:tab/>
      </w:r>
      <w:r w:rsidRPr="00213639">
        <w:tab/>
      </w:r>
      <w:r w:rsidRPr="00213639">
        <w:tab/>
      </w:r>
      <w:r w:rsidRPr="00213639">
        <w:tab/>
      </w:r>
      <w:r w:rsidRPr="00213639">
        <w:tab/>
      </w:r>
      <w:r>
        <w:tab/>
      </w:r>
      <w:r>
        <w:tab/>
      </w:r>
      <w:r>
        <w:rPr>
          <w:lang w:val="sr-Cyrl-RS"/>
        </w:rPr>
        <w:t xml:space="preserve">  </w:t>
      </w:r>
      <w:r w:rsidRPr="00213639">
        <w:t xml:space="preserve"> СКУПШТИНЕ </w:t>
      </w:r>
      <w:r w:rsidRPr="00213639">
        <w:rPr>
          <w:lang w:val="sr-Cyrl-RS"/>
        </w:rPr>
        <w:t>ГРАДА</w:t>
      </w:r>
    </w:p>
    <w:p w:rsidR="00B25059" w:rsidRPr="00213639" w:rsidRDefault="00B25059" w:rsidP="00B25059">
      <w:pPr>
        <w:widowControl w:val="0"/>
        <w:autoSpaceDE w:val="0"/>
        <w:autoSpaceDN w:val="0"/>
        <w:adjustRightInd w:val="0"/>
        <w:rPr>
          <w:lang w:val="sr-Cyrl-RS"/>
        </w:rPr>
      </w:pPr>
      <w:r w:rsidRPr="00213639">
        <w:t xml:space="preserve">                                                                                                        </w:t>
      </w:r>
      <w:r w:rsidRPr="00213639">
        <w:rPr>
          <w:lang w:val="sr-Cyrl-RS"/>
        </w:rPr>
        <w:t xml:space="preserve">                 </w:t>
      </w:r>
    </w:p>
    <w:p w:rsidR="00B25059" w:rsidRPr="00213639" w:rsidRDefault="00B25059" w:rsidP="00B25059">
      <w:pPr>
        <w:widowControl w:val="0"/>
        <w:autoSpaceDE w:val="0"/>
        <w:autoSpaceDN w:val="0"/>
        <w:adjustRightInd w:val="0"/>
      </w:pPr>
      <w:r w:rsidRPr="00213639">
        <w:rPr>
          <w:lang w:val="sr-Cyrl-RS"/>
        </w:rPr>
        <w:t xml:space="preserve">                                                               </w:t>
      </w:r>
      <w:r>
        <w:rPr>
          <w:lang w:val="sr-Latn-RS"/>
        </w:rPr>
        <w:tab/>
      </w:r>
      <w:r>
        <w:rPr>
          <w:lang w:val="sr-Latn-RS"/>
        </w:rPr>
        <w:tab/>
      </w:r>
      <w:r>
        <w:rPr>
          <w:lang w:val="sr-Latn-RS"/>
        </w:rPr>
        <w:tab/>
      </w:r>
      <w:r>
        <w:rPr>
          <w:lang w:val="sr-Latn-RS"/>
        </w:rPr>
        <w:tab/>
      </w:r>
      <w:r>
        <w:rPr>
          <w:lang w:val="sr-Latn-RS"/>
        </w:rPr>
        <w:tab/>
      </w:r>
      <w:r w:rsidRPr="00213639">
        <w:rPr>
          <w:lang w:val="sr-Cyrl-RS"/>
        </w:rPr>
        <w:t xml:space="preserve"> </w:t>
      </w:r>
      <w:r w:rsidRPr="00213639">
        <w:t>Дејан Лазић с.р.</w:t>
      </w:r>
    </w:p>
    <w:p w:rsidR="00B25059" w:rsidRDefault="00B25059" w:rsidP="00B25059">
      <w:pPr>
        <w:rPr>
          <w:lang w:val="sr-Latn-RS"/>
        </w:rPr>
      </w:pPr>
      <w:r w:rsidRPr="00523472">
        <w:tab/>
      </w:r>
      <w:r w:rsidRPr="00523472">
        <w:tab/>
      </w:r>
      <w:r w:rsidRPr="00523472">
        <w:tab/>
      </w:r>
      <w:r w:rsidRPr="00523472">
        <w:rPr>
          <w:lang w:val="sr-Cyrl-CS"/>
        </w:rPr>
        <w:t xml:space="preserve">     </w:t>
      </w: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Default="00B25059" w:rsidP="00B25059">
      <w:pPr>
        <w:rPr>
          <w:lang w:val="sr-Latn-RS"/>
        </w:rPr>
      </w:pPr>
    </w:p>
    <w:p w:rsidR="00B25059" w:rsidRPr="00B25059" w:rsidRDefault="00B25059" w:rsidP="00B25059">
      <w:pPr>
        <w:rPr>
          <w:lang w:val="sr-Latn-RS"/>
        </w:rPr>
      </w:pPr>
    </w:p>
    <w:p w:rsidR="00B25059" w:rsidRPr="00523472" w:rsidRDefault="00B25059" w:rsidP="00B25059">
      <w:r w:rsidRPr="00523472">
        <w:rPr>
          <w:lang w:val="sr-Cyrl-RS"/>
        </w:rPr>
        <w:lastRenderedPageBreak/>
        <w:t xml:space="preserve">                 </w:t>
      </w:r>
      <w:r w:rsidRPr="00523472">
        <w:t>ТАРИФА ВИСИНЕ НАКНАДЕ ЗА КОРИШЋЕЊЕ ЈАВНЕ ПОВРШИНЕ</w:t>
      </w:r>
    </w:p>
    <w:p w:rsidR="00B25059" w:rsidRPr="00523472" w:rsidRDefault="00B25059" w:rsidP="00B25059">
      <w:pPr>
        <w:rPr>
          <w:lang w:val="sr-Cyrl-RS"/>
        </w:rPr>
      </w:pPr>
    </w:p>
    <w:p w:rsidR="00B25059" w:rsidRPr="00523472" w:rsidRDefault="00B25059" w:rsidP="00B25059">
      <w:pPr>
        <w:jc w:val="center"/>
      </w:pPr>
      <w:r w:rsidRPr="00523472">
        <w:t>ТАРИФНИ БРОЈ 1.</w:t>
      </w:r>
      <w:r w:rsidRPr="00523472">
        <w:rPr>
          <w:lang w:val="sr-Cyrl-RS"/>
        </w:rPr>
        <w:t>1</w:t>
      </w:r>
      <w:r w:rsidRPr="00523472">
        <w:t>.</w:t>
      </w:r>
    </w:p>
    <w:p w:rsidR="00B25059" w:rsidRPr="00523472" w:rsidRDefault="00B25059" w:rsidP="00B25059">
      <w:pPr>
        <w:ind w:firstLine="720"/>
        <w:jc w:val="both"/>
        <w:rPr>
          <w:lang w:val="sr-Cyrl-RS"/>
        </w:rPr>
      </w:pPr>
      <w:r w:rsidRPr="00523472">
        <w:t>Накнада за коришћење простора на  јавној површини у пословне и друге сврхе плаћа се за  коришћење простора за постављање тезги и пултова,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tcPr>
          <w:p w:rsidR="00B25059" w:rsidRPr="008F53F0" w:rsidRDefault="00B25059" w:rsidP="00910F65">
            <w:pPr>
              <w:jc w:val="right"/>
            </w:pPr>
            <w:r w:rsidRPr="008F53F0">
              <w:t>102,00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tcPr>
          <w:p w:rsidR="00B25059" w:rsidRPr="008F53F0" w:rsidRDefault="00B25059" w:rsidP="00910F65">
            <w:pPr>
              <w:jc w:val="right"/>
            </w:pPr>
            <w:r w:rsidRPr="008F53F0">
              <w:t>90,00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tcPr>
          <w:p w:rsidR="00B25059" w:rsidRPr="008F53F0" w:rsidRDefault="00B25059" w:rsidP="00910F65">
            <w:pPr>
              <w:jc w:val="right"/>
            </w:pPr>
            <w:r w:rsidRPr="008F53F0">
              <w:t>60,00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tcPr>
          <w:p w:rsidR="00B25059" w:rsidRDefault="00B25059" w:rsidP="00910F65">
            <w:pPr>
              <w:jc w:val="right"/>
            </w:pPr>
            <w:r w:rsidRPr="008F53F0">
              <w:t>42,00</w:t>
            </w:r>
          </w:p>
        </w:tc>
      </w:tr>
    </w:tbl>
    <w:p w:rsidR="00B25059" w:rsidRPr="007F737A" w:rsidRDefault="00B25059" w:rsidP="00B25059">
      <w:pPr>
        <w:jc w:val="both"/>
        <w:rPr>
          <w:lang w:val="sr-Cyrl-RS"/>
        </w:rPr>
      </w:pPr>
      <w:r w:rsidRPr="00523472">
        <w:tab/>
        <w:t>Накнада се</w:t>
      </w:r>
      <w:r w:rsidRPr="00523472">
        <w:rPr>
          <w:lang w:val="sr-Cyrl-RS"/>
        </w:rPr>
        <w:t xml:space="preserve"> плаћа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Pr>
        <w:jc w:val="center"/>
        <w:rPr>
          <w:lang w:val="sr-Latn-RS"/>
        </w:rPr>
      </w:pPr>
    </w:p>
    <w:p w:rsidR="00B25059" w:rsidRPr="00523472" w:rsidRDefault="00B25059" w:rsidP="00B25059">
      <w:pPr>
        <w:jc w:val="center"/>
      </w:pPr>
      <w:r w:rsidRPr="00523472">
        <w:t>ТАРИФНИ БРОЈ 1.</w:t>
      </w:r>
      <w:r w:rsidRPr="00523472">
        <w:rPr>
          <w:lang w:val="sr-Cyrl-RS"/>
        </w:rPr>
        <w:t>2</w:t>
      </w:r>
      <w:r w:rsidRPr="00523472">
        <w:t>.</w:t>
      </w:r>
    </w:p>
    <w:p w:rsidR="00B25059" w:rsidRPr="00523472" w:rsidRDefault="00B25059" w:rsidP="00B25059">
      <w:pPr>
        <w:ind w:firstLine="720"/>
        <w:jc w:val="both"/>
        <w:rPr>
          <w:lang w:val="sr-Cyrl-RS"/>
        </w:rPr>
      </w:pPr>
      <w:r w:rsidRPr="00523472">
        <w:t>Накнада за коришћење простора на  јавној површини у пословне и друге сврхе плаћа се за постављање уређаја за печење и продају кокица, уређаја за израду и продају мини крофница, уређаја за производњу и продају  шећерне вуне, уређаја за производњу и продају помфрита и уређаја за печење и продају кукурних клипова и кестена,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102</w:t>
            </w:r>
            <w:r w:rsidRPr="00523472">
              <w:t>,00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90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60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42,00</w:t>
            </w:r>
          </w:p>
        </w:tc>
      </w:tr>
    </w:tbl>
    <w:p w:rsidR="00B25059" w:rsidRPr="00523472" w:rsidRDefault="00B25059" w:rsidP="00B25059">
      <w:pPr>
        <w:ind w:firstLine="720"/>
        <w:jc w:val="both"/>
      </w:pPr>
      <w:r w:rsidRPr="00523472">
        <w:t xml:space="preserve">Накнада се </w:t>
      </w:r>
      <w:r w:rsidRPr="00523472">
        <w:rPr>
          <w:lang w:val="sr-Cyrl-RS"/>
        </w:rPr>
        <w:t>плаћа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Pr>
        <w:jc w:val="center"/>
        <w:rPr>
          <w:lang w:val="sr-Cyrl-RS"/>
        </w:rPr>
      </w:pPr>
    </w:p>
    <w:p w:rsidR="00B25059" w:rsidRPr="00523472" w:rsidRDefault="00B25059" w:rsidP="00B25059">
      <w:pPr>
        <w:jc w:val="center"/>
      </w:pPr>
      <w:r w:rsidRPr="00523472">
        <w:t>ТАРИФНИ БРОЈ 1.</w:t>
      </w:r>
      <w:r w:rsidRPr="00523472">
        <w:rPr>
          <w:lang w:val="sr-Cyrl-RS"/>
        </w:rPr>
        <w:t>3</w:t>
      </w:r>
      <w:r w:rsidRPr="00523472">
        <w:t>.</w:t>
      </w:r>
    </w:p>
    <w:p w:rsidR="00B25059" w:rsidRPr="00523472" w:rsidRDefault="00B25059" w:rsidP="00B25059">
      <w:pPr>
        <w:ind w:firstLine="720"/>
        <w:jc w:val="both"/>
        <w:rPr>
          <w:lang w:val="sr-Cyrl-RS"/>
        </w:rPr>
      </w:pPr>
      <w:r w:rsidRPr="00523472">
        <w:t>Накнада за коришћење простора на  јавној површини у пословне и друге сврхе плаћа се за  коришћење простора за постављање расхладне коморе за продају сладоледа, расхладне коморе за продају сладоледа на точење, расхладне витрине за продају хладних напитака, апарата за продају топлих напитика и еспресо кафе,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102</w:t>
            </w:r>
            <w:r w:rsidRPr="00523472">
              <w:t>,00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90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60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42,00</w:t>
            </w:r>
          </w:p>
        </w:tc>
      </w:tr>
    </w:tbl>
    <w:p w:rsidR="00B25059" w:rsidRPr="00523472" w:rsidRDefault="00B25059" w:rsidP="00B25059">
      <w:pPr>
        <w:ind w:firstLine="720"/>
        <w:jc w:val="both"/>
        <w:rPr>
          <w:lang w:val="sr-Cyrl-RS"/>
        </w:rPr>
      </w:pPr>
      <w:r w:rsidRPr="00523472">
        <w:t xml:space="preserve">Накнада </w:t>
      </w:r>
      <w:r w:rsidRPr="00523472">
        <w:rPr>
          <w:lang w:val="sr-Cyrl-RS"/>
        </w:rPr>
        <w:t xml:space="preserve"> се плаћа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Default="00B25059" w:rsidP="00B25059">
      <w:pPr>
        <w:jc w:val="center"/>
        <w:rPr>
          <w:lang w:val="sr-Latn-RS"/>
        </w:rPr>
      </w:pPr>
    </w:p>
    <w:p w:rsidR="00B25059" w:rsidRDefault="00B25059" w:rsidP="00B25059">
      <w:pPr>
        <w:rPr>
          <w:lang w:val="sr-Cyrl-RS"/>
        </w:rPr>
      </w:pPr>
    </w:p>
    <w:p w:rsidR="00B25059" w:rsidRDefault="00B25059" w:rsidP="00B25059">
      <w:pPr>
        <w:rPr>
          <w:lang w:val="sr-Cyrl-RS"/>
        </w:rPr>
      </w:pPr>
    </w:p>
    <w:p w:rsidR="00B25059" w:rsidRDefault="00B25059" w:rsidP="00B25059">
      <w:pPr>
        <w:jc w:val="center"/>
      </w:pPr>
    </w:p>
    <w:p w:rsidR="00B25059" w:rsidRDefault="00B25059" w:rsidP="00B25059">
      <w:pPr>
        <w:jc w:val="center"/>
      </w:pPr>
    </w:p>
    <w:p w:rsidR="00B25059" w:rsidRPr="00523472" w:rsidRDefault="00B25059" w:rsidP="00B25059">
      <w:pPr>
        <w:jc w:val="center"/>
      </w:pPr>
      <w:r w:rsidRPr="00523472">
        <w:lastRenderedPageBreak/>
        <w:t>ТАРИФНИ БРОЈ 1.</w:t>
      </w:r>
      <w:r w:rsidRPr="00523472">
        <w:rPr>
          <w:lang w:val="sr-Cyrl-RS"/>
        </w:rPr>
        <w:t>4</w:t>
      </w:r>
      <w:r w:rsidRPr="00523472">
        <w:t>.</w:t>
      </w:r>
    </w:p>
    <w:p w:rsidR="00B25059" w:rsidRPr="00523472" w:rsidRDefault="00B25059" w:rsidP="00B25059">
      <w:pPr>
        <w:ind w:firstLine="720"/>
        <w:jc w:val="both"/>
        <w:rPr>
          <w:lang w:val="sr-Cyrl-RS"/>
        </w:rPr>
      </w:pPr>
      <w:r w:rsidRPr="00523472">
        <w:t xml:space="preserve">Накнада за коришћење простора на  јавној површини у пословне и друге сврхе плаћа се за  коришћење простора за постављање летњих </w:t>
      </w:r>
      <w:r w:rsidRPr="00523472">
        <w:rPr>
          <w:lang w:val="sr-Cyrl-RS"/>
        </w:rPr>
        <w:t>башти</w:t>
      </w:r>
      <w:r w:rsidRPr="00523472">
        <w:t>,</w:t>
      </w:r>
      <w:r>
        <w:t xml:space="preserve"> </w:t>
      </w:r>
      <w:r>
        <w:rPr>
          <w:lang w:val="sr-Cyrl-RS"/>
        </w:rPr>
        <w:t xml:space="preserve">летњих башти са нивелетом, </w:t>
      </w:r>
      <w:r w:rsidRPr="00523472">
        <w:t xml:space="preserve">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42</w:t>
            </w:r>
            <w:r w:rsidRPr="00523472">
              <w:t>,00</w:t>
            </w:r>
          </w:p>
        </w:tc>
      </w:tr>
      <w:tr w:rsidR="00B25059" w:rsidRPr="00523472" w:rsidTr="00910F65">
        <w:trPr>
          <w:trHeight w:val="518"/>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36</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24</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rPr>
          <w:lang w:val="sr-Cyrl-RS"/>
        </w:rPr>
      </w:pPr>
    </w:p>
    <w:p w:rsidR="00B25059" w:rsidRPr="00523472" w:rsidRDefault="00B25059" w:rsidP="00B25059">
      <w:pPr>
        <w:jc w:val="both"/>
        <w:rPr>
          <w:lang w:val="sr-Cyrl-RS"/>
        </w:rPr>
      </w:pPr>
      <w:r w:rsidRPr="00523472">
        <w:tab/>
        <w:t>Накнад</w:t>
      </w:r>
      <w:r w:rsidRPr="00523472">
        <w:rPr>
          <w:lang w:val="sr-Cyrl-RS"/>
        </w:rPr>
        <w:t>у</w:t>
      </w:r>
      <w:r w:rsidRPr="00523472">
        <w:t xml:space="preserve"> из овог тарифног броја плаћа правно лице</w:t>
      </w:r>
      <w:r w:rsidRPr="00523472">
        <w:rPr>
          <w:lang w:val="sr-Cyrl-RS"/>
        </w:rPr>
        <w:t xml:space="preserve"> и</w:t>
      </w:r>
      <w:r w:rsidRPr="00523472">
        <w:t xml:space="preserve"> предузетник  на основу решења </w:t>
      </w:r>
      <w:r w:rsidRPr="00523472">
        <w:rPr>
          <w:lang w:val="sr-Cyrl-CS"/>
        </w:rPr>
        <w:t>Градске</w:t>
      </w:r>
      <w:r w:rsidRPr="00523472">
        <w:t xml:space="preserve"> управе, Оде</w:t>
      </w:r>
      <w:r w:rsidRPr="00523472">
        <w:rPr>
          <w:lang w:val="sr-Cyrl-CS"/>
        </w:rPr>
        <w:t>љ</w:t>
      </w:r>
      <w:r w:rsidRPr="00523472">
        <w:t xml:space="preserve">ења локалне пореске администрације, а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xml:space="preserve">. </w:t>
      </w:r>
    </w:p>
    <w:p w:rsidR="00B25059" w:rsidRPr="00523472" w:rsidRDefault="00B25059" w:rsidP="00B25059">
      <w:pPr>
        <w:ind w:firstLine="720"/>
        <w:jc w:val="both"/>
        <w:rPr>
          <w:lang w:val="sr-Cyrl-RS"/>
        </w:rPr>
      </w:pPr>
      <w:r w:rsidRPr="00523472">
        <w:rPr>
          <w:lang w:val="ru-RU"/>
        </w:rPr>
        <w:t>Износ накнаде из овог Тарифног броја умањује се за 10% по раднику за сваког радника који ради на неодређено време и који је био упослен у периоду за који се умањује накнада, а највише до 50%. Умањење се остварује достављањем доказа о испуњеним условима (фотокопија обрасца М1) надлежном градском органу до петог у месецу (запошљавање подразумева радни однос за раднике запослене у објекту који користи башту).</w:t>
      </w:r>
      <w:r w:rsidRPr="00523472">
        <w:t xml:space="preserve"> </w:t>
      </w:r>
      <w:r w:rsidRPr="00523472">
        <w:rPr>
          <w:lang w:val="ru-RU"/>
        </w:rPr>
        <w:t>Коришћење повластица примењиваће се само за оне обвезнике који су измирили своје обавезе закључно са датумом подношења захтева. Период за који се наплаћује кориш</w:t>
      </w:r>
      <w:r w:rsidRPr="00523472">
        <w:rPr>
          <w:lang w:val="sr-Cyrl-CS"/>
        </w:rPr>
        <w:t>ће</w:t>
      </w:r>
      <w:r w:rsidRPr="00523472">
        <w:rPr>
          <w:lang w:val="ru-RU"/>
        </w:rPr>
        <w:t>ње баште је од  01.03 до 15.11. текуће године</w:t>
      </w:r>
      <w:r w:rsidRPr="00523472">
        <w:t>.</w:t>
      </w:r>
      <w:r w:rsidRPr="00523472">
        <w:rPr>
          <w:lang w:val="sr-Cyrl-CS"/>
        </w:rPr>
        <w:t xml:space="preserve"> За обављање угоститељске делатности у башти отвореног типа, у периоду од 16.11 до 28.02., умањује се за 80 % од прописане накнаде.</w:t>
      </w:r>
    </w:p>
    <w:p w:rsidR="00B25059" w:rsidRPr="00523472" w:rsidRDefault="00B25059" w:rsidP="00B25059">
      <w:pPr>
        <w:ind w:firstLine="720"/>
        <w:jc w:val="both"/>
        <w:rPr>
          <w:lang w:val="sr-Cyrl-RS"/>
        </w:rPr>
      </w:pPr>
    </w:p>
    <w:p w:rsidR="00B25059" w:rsidRPr="00523472" w:rsidRDefault="00B25059" w:rsidP="00B25059">
      <w:pPr>
        <w:jc w:val="center"/>
        <w:rPr>
          <w:lang w:val="sr-Cyrl-CS"/>
        </w:rPr>
      </w:pPr>
      <w:r w:rsidRPr="00523472">
        <w:rPr>
          <w:lang w:val="sr-Cyrl-CS"/>
        </w:rPr>
        <w:t>ТАРИФНИ БРОЈ 1.5.</w:t>
      </w:r>
    </w:p>
    <w:p w:rsidR="00B25059" w:rsidRPr="00523472" w:rsidRDefault="00B25059" w:rsidP="00B25059">
      <w:pPr>
        <w:jc w:val="both"/>
        <w:rPr>
          <w:lang w:val="sr-Cyrl-RS"/>
        </w:rPr>
      </w:pPr>
      <w:r w:rsidRPr="00523472">
        <w:rPr>
          <w:lang w:val="sr-Cyrl-CS"/>
        </w:rPr>
        <w:t xml:space="preserve"> </w:t>
      </w:r>
      <w:r w:rsidRPr="00523472">
        <w:rPr>
          <w:lang w:val="sr-Cyrl-CS"/>
        </w:rPr>
        <w:tab/>
      </w:r>
      <w:r w:rsidRPr="00523472">
        <w:t xml:space="preserve">Накнада за коришћење простора на  јавној површини у пословне и друге сврхе плаћа се за  коришћење простора за постављање монтажних садржаја за дечији забавни и спортски програм, дечији аутомобили на батерије, апарати  за хватање лутака,  а  утврђује се у дневном износу по м2, у </w:t>
      </w:r>
      <w:r w:rsidRPr="00523472">
        <w:rPr>
          <w:lang w:val="sr-Cyrl-RS"/>
        </w:rPr>
        <w:t>износу од 42 динара.</w:t>
      </w:r>
    </w:p>
    <w:p w:rsidR="00B25059" w:rsidRPr="00523472" w:rsidRDefault="00B25059" w:rsidP="00B25059">
      <w:pPr>
        <w:ind w:firstLine="720"/>
        <w:jc w:val="both"/>
        <w:rPr>
          <w:lang w:val="sr-Cyrl-RS"/>
        </w:rPr>
      </w:pPr>
      <w:r w:rsidRPr="00523472">
        <w:t xml:space="preserve">Накнада се обрачунава на </w:t>
      </w:r>
      <w:r w:rsidRPr="00523472">
        <w:rPr>
          <w:lang w:val="sr-Cyrl-RS"/>
        </w:rPr>
        <w:t>дневном</w:t>
      </w:r>
      <w:r w:rsidRPr="00523472">
        <w:t xml:space="preserve"> нивоу,</w:t>
      </w:r>
      <w:r w:rsidRPr="00523472">
        <w:rPr>
          <w:lang w:val="sr-Cyrl-RS"/>
        </w:rPr>
        <w:t xml:space="preserve"> и плаћа се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 w:rsidR="00B25059" w:rsidRPr="00523472" w:rsidRDefault="00B25059" w:rsidP="00B25059">
      <w:pPr>
        <w:jc w:val="center"/>
      </w:pPr>
      <w:r w:rsidRPr="00523472">
        <w:t>ТАРИФНИ БРОЈ 1.</w:t>
      </w:r>
      <w:r w:rsidRPr="00523472">
        <w:rPr>
          <w:lang w:val="sr-Cyrl-RS"/>
        </w:rPr>
        <w:t>6</w:t>
      </w:r>
      <w:r w:rsidRPr="00523472">
        <w:t>.</w:t>
      </w:r>
    </w:p>
    <w:p w:rsidR="00B25059" w:rsidRPr="00523472" w:rsidRDefault="00B25059" w:rsidP="00B25059">
      <w:pPr>
        <w:ind w:firstLine="720"/>
        <w:jc w:val="both"/>
        <w:rPr>
          <w:lang w:val="sr-Cyrl-RS"/>
        </w:rPr>
      </w:pPr>
      <w:r w:rsidRPr="00523472">
        <w:t>Накнада за коришћење простора на  јавној површини у пословне и друге сврхе плаћа се за  коришћење простора за забавни луна парк,  клизалиште, трамболине, утврђује се у дневном износу по м2, у</w:t>
      </w:r>
      <w:r w:rsidRPr="00523472">
        <w:rPr>
          <w:lang w:val="sr-Cyrl-RS"/>
        </w:rPr>
        <w:t>зносу од 42 динара.</w:t>
      </w:r>
    </w:p>
    <w:p w:rsidR="00B25059" w:rsidRPr="00523472" w:rsidRDefault="00B25059" w:rsidP="00B25059">
      <w:pPr>
        <w:ind w:firstLine="720"/>
        <w:jc w:val="both"/>
        <w:rPr>
          <w:lang w:val="sr-Cyrl-RS"/>
        </w:rPr>
      </w:pPr>
      <w:r w:rsidRPr="00523472">
        <w:t xml:space="preserve">Накнада се обрачунава на </w:t>
      </w:r>
      <w:r w:rsidRPr="00523472">
        <w:rPr>
          <w:lang w:val="sr-Cyrl-RS"/>
        </w:rPr>
        <w:t>дневном</w:t>
      </w:r>
      <w:r w:rsidRPr="00523472">
        <w:t xml:space="preserve"> нивоу,</w:t>
      </w:r>
      <w:r w:rsidRPr="00523472">
        <w:rPr>
          <w:lang w:val="sr-Cyrl-RS"/>
        </w:rPr>
        <w:t xml:space="preserve"> и плаћа се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Pr>
        <w:jc w:val="center"/>
      </w:pPr>
      <w:r w:rsidRPr="00523472">
        <w:t>ТАРИФНИ БРОЈ 1.</w:t>
      </w:r>
      <w:r w:rsidRPr="00523472">
        <w:rPr>
          <w:lang w:val="sr-Cyrl-RS"/>
        </w:rPr>
        <w:t>7</w:t>
      </w:r>
      <w:r w:rsidRPr="00523472">
        <w:t>.</w:t>
      </w:r>
    </w:p>
    <w:p w:rsidR="00B25059" w:rsidRPr="00523472" w:rsidRDefault="00B25059" w:rsidP="00B25059">
      <w:pPr>
        <w:ind w:firstLine="720"/>
        <w:jc w:val="both"/>
        <w:rPr>
          <w:lang w:val="sr-Cyrl-RS"/>
        </w:rPr>
      </w:pPr>
      <w:r w:rsidRPr="00523472">
        <w:t xml:space="preserve">Накнада за коришћење простора на  јавној површини у пословне и друге сврхе плаћа се за  коришћење простора за </w:t>
      </w:r>
      <w:r w:rsidRPr="00523472">
        <w:rPr>
          <w:lang w:val="sr-Cyrl-RS"/>
        </w:rPr>
        <w:t>постављање дечијих клацкалица и сличних направа које се стављају у погон уз помоћ новца или жетона</w:t>
      </w:r>
      <w:r w:rsidRPr="00523472">
        <w:t>, утврђује се у дневном износу по м2</w:t>
      </w:r>
      <w:r w:rsidRPr="00523472">
        <w:rPr>
          <w:lang w:val="sr-Cyrl-RS"/>
        </w:rPr>
        <w:t xml:space="preserve">, </w:t>
      </w:r>
      <w:r w:rsidRPr="00523472">
        <w:t xml:space="preserve">у </w:t>
      </w:r>
      <w:r w:rsidRPr="00523472">
        <w:rPr>
          <w:lang w:val="sr-Cyrl-RS"/>
        </w:rPr>
        <w:t>износу од 42 динара.</w:t>
      </w:r>
    </w:p>
    <w:p w:rsidR="00B25059" w:rsidRPr="00523472" w:rsidRDefault="00B25059" w:rsidP="00B25059">
      <w:pPr>
        <w:ind w:firstLine="720"/>
        <w:jc w:val="both"/>
        <w:rPr>
          <w:lang w:val="sr-Cyrl-RS"/>
        </w:rPr>
      </w:pPr>
      <w:r w:rsidRPr="00523472">
        <w:t xml:space="preserve">Накнада се обрачунава на </w:t>
      </w:r>
      <w:r w:rsidRPr="00523472">
        <w:rPr>
          <w:lang w:val="sr-Cyrl-RS"/>
        </w:rPr>
        <w:t>дневном</w:t>
      </w:r>
      <w:r w:rsidRPr="00523472">
        <w:t xml:space="preserve"> нивоу,</w:t>
      </w:r>
      <w:r w:rsidRPr="00523472">
        <w:rPr>
          <w:lang w:val="sr-Cyrl-RS"/>
        </w:rPr>
        <w:t xml:space="preserve"> и плаћа се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Default="00B25059" w:rsidP="00B25059">
      <w:pPr>
        <w:jc w:val="center"/>
        <w:rPr>
          <w:lang w:val="sr-Cyrl-RS"/>
        </w:rPr>
      </w:pPr>
    </w:p>
    <w:p w:rsidR="00B25059" w:rsidRDefault="00B25059" w:rsidP="00B25059">
      <w:pPr>
        <w:jc w:val="center"/>
        <w:rPr>
          <w:lang w:val="sr-Latn-RS"/>
        </w:rPr>
      </w:pPr>
    </w:p>
    <w:p w:rsidR="00B25059" w:rsidRPr="00B25059" w:rsidRDefault="00B25059" w:rsidP="00B25059">
      <w:pPr>
        <w:jc w:val="center"/>
        <w:rPr>
          <w:lang w:val="sr-Latn-RS"/>
        </w:rPr>
      </w:pPr>
    </w:p>
    <w:p w:rsidR="00B25059" w:rsidRPr="00523472" w:rsidRDefault="00B25059" w:rsidP="00B25059">
      <w:pPr>
        <w:jc w:val="center"/>
      </w:pPr>
      <w:r w:rsidRPr="00523472">
        <w:lastRenderedPageBreak/>
        <w:t>ТАРИФНИ БРОЈ 1.</w:t>
      </w:r>
      <w:r w:rsidRPr="00523472">
        <w:rPr>
          <w:lang w:val="sr-Cyrl-RS"/>
        </w:rPr>
        <w:t>8</w:t>
      </w:r>
      <w:r w:rsidRPr="00523472">
        <w:t>.</w:t>
      </w:r>
    </w:p>
    <w:p w:rsidR="00B25059" w:rsidRPr="00523472" w:rsidRDefault="00B25059" w:rsidP="00B25059">
      <w:pPr>
        <w:ind w:firstLine="720"/>
        <w:jc w:val="both"/>
        <w:rPr>
          <w:lang w:val="sr-Cyrl-RS"/>
        </w:rPr>
      </w:pPr>
      <w:r w:rsidRPr="00523472">
        <w:t xml:space="preserve">Накнада за коришћење простора на  јавној површини у пословне и друге сврхе плаћа се за  коришћење простора за </w:t>
      </w:r>
      <w:r w:rsidRPr="00523472">
        <w:rPr>
          <w:lang w:val="sr-Cyrl-RS"/>
        </w:rPr>
        <w:t xml:space="preserve">постављање </w:t>
      </w:r>
      <w:r w:rsidRPr="00523472">
        <w:rPr>
          <w:lang w:val="sr-Cyrl-CS"/>
        </w:rPr>
        <w:t>посуде са биљном декорацијом – жардињере, а</w:t>
      </w:r>
      <w:r w:rsidRPr="00523472">
        <w:t xml:space="preserve"> се утврђује дневн</w:t>
      </w:r>
      <w:r w:rsidRPr="00523472">
        <w:rPr>
          <w:lang w:val="sr-Cyrl-CS"/>
        </w:rPr>
        <w:t>о</w:t>
      </w:r>
      <w:r w:rsidRPr="00523472">
        <w:t xml:space="preserve"> </w:t>
      </w:r>
      <w:r w:rsidRPr="00523472">
        <w:rPr>
          <w:lang w:val="sr-Cyrl-CS"/>
        </w:rPr>
        <w:t xml:space="preserve">у </w:t>
      </w:r>
      <w:r w:rsidRPr="00523472">
        <w:t xml:space="preserve">износу од </w:t>
      </w:r>
      <w:r w:rsidRPr="00523472">
        <w:rPr>
          <w:lang w:val="sr-Cyrl-CS"/>
        </w:rPr>
        <w:t>42</w:t>
      </w:r>
      <w:r w:rsidRPr="00523472">
        <w:t xml:space="preserve"> динара</w:t>
      </w:r>
      <w:r w:rsidRPr="00523472">
        <w:rPr>
          <w:lang w:val="sr-Cyrl-CS"/>
        </w:rPr>
        <w:t xml:space="preserve"> за сваки цео или започети м2.</w:t>
      </w:r>
    </w:p>
    <w:p w:rsidR="00B25059" w:rsidRPr="00523472" w:rsidRDefault="00B25059" w:rsidP="00B25059">
      <w:pPr>
        <w:ind w:firstLine="720"/>
        <w:jc w:val="both"/>
      </w:pPr>
      <w:r w:rsidRPr="00523472">
        <w:t>Накнада се обрачунава на месечном нивоу,</w:t>
      </w:r>
      <w:r w:rsidRPr="00523472">
        <w:rPr>
          <w:lang w:val="sr-Cyrl-RS"/>
        </w:rPr>
        <w:t xml:space="preserve"> и плаћа се у пуном износу пре почетка коришћења накнаде</w:t>
      </w:r>
      <w:r w:rsidRPr="00523472">
        <w:t xml:space="preserve"> на основу акта организационе јединице </w:t>
      </w:r>
      <w:r w:rsidRPr="00523472">
        <w:rPr>
          <w:lang w:val="sr-Cyrl-RS"/>
        </w:rPr>
        <w:t>Градске</w:t>
      </w:r>
      <w:r w:rsidRPr="00523472">
        <w:t xml:space="preserve"> управе надлежне за урбанизам и имовинско правне послове</w:t>
      </w:r>
      <w:r w:rsidRPr="00523472">
        <w:rPr>
          <w:lang w:val="sr-Cyrl-RS"/>
        </w:rPr>
        <w:t>.</w:t>
      </w:r>
    </w:p>
    <w:p w:rsidR="00B25059" w:rsidRPr="00523472" w:rsidRDefault="00B25059" w:rsidP="00B25059">
      <w:pPr>
        <w:jc w:val="center"/>
        <w:rPr>
          <w:lang w:val="sr-Cyrl-RS"/>
        </w:rPr>
      </w:pPr>
    </w:p>
    <w:p w:rsidR="00B25059" w:rsidRPr="00523472" w:rsidRDefault="00B25059" w:rsidP="00B25059">
      <w:pPr>
        <w:jc w:val="center"/>
      </w:pPr>
      <w:r w:rsidRPr="00523472">
        <w:t>ТАРИФНИ БРОЈ 1.</w:t>
      </w:r>
      <w:r w:rsidRPr="00523472">
        <w:rPr>
          <w:lang w:val="sr-Cyrl-RS"/>
        </w:rPr>
        <w:t>9</w:t>
      </w:r>
      <w:r w:rsidRPr="00523472">
        <w:t>.</w:t>
      </w:r>
    </w:p>
    <w:p w:rsidR="00B25059" w:rsidRPr="00523472" w:rsidRDefault="00B25059" w:rsidP="00B25059">
      <w:pPr>
        <w:ind w:firstLine="720"/>
        <w:jc w:val="both"/>
        <w:rPr>
          <w:lang w:val="sr-Cyrl-RS"/>
        </w:rPr>
      </w:pPr>
      <w:r w:rsidRPr="00523472">
        <w:t xml:space="preserve">Накнада за коришћење простора на  јавној површини у пословне и друге сврхе плаћа се за  коришћење простора за </w:t>
      </w:r>
      <w:r w:rsidRPr="00523472">
        <w:rPr>
          <w:lang w:val="sr-Cyrl-RS"/>
        </w:rPr>
        <w:t xml:space="preserve">постављање </w:t>
      </w:r>
      <w:r w:rsidRPr="00523472">
        <w:rPr>
          <w:lang w:val="sr-Cyrl-CS"/>
        </w:rPr>
        <w:t xml:space="preserve">заштитне ограде, стубића, паркинг стубићима са проширењем, паркинг баријерама и  сл., </w:t>
      </w:r>
      <w:r w:rsidRPr="00523472">
        <w:t xml:space="preserve">утврђује </w:t>
      </w:r>
      <w:r w:rsidRPr="00523472">
        <w:rPr>
          <w:lang w:val="sr-Cyrl-RS"/>
        </w:rPr>
        <w:t xml:space="preserve">се </w:t>
      </w:r>
      <w:r w:rsidRPr="00523472">
        <w:t>дневн</w:t>
      </w:r>
      <w:r w:rsidRPr="00523472">
        <w:rPr>
          <w:lang w:val="sr-Cyrl-CS"/>
        </w:rPr>
        <w:t>о</w:t>
      </w:r>
      <w:r w:rsidRPr="00523472">
        <w:t xml:space="preserve"> </w:t>
      </w:r>
      <w:r w:rsidRPr="00523472">
        <w:rPr>
          <w:lang w:val="sr-Cyrl-CS"/>
        </w:rPr>
        <w:t xml:space="preserve">у </w:t>
      </w:r>
      <w:r w:rsidRPr="00523472">
        <w:t xml:space="preserve">износу од </w:t>
      </w:r>
      <w:r w:rsidRPr="00523472">
        <w:rPr>
          <w:lang w:val="sr-Cyrl-CS"/>
        </w:rPr>
        <w:t>42</w:t>
      </w:r>
      <w:r w:rsidRPr="00523472">
        <w:t xml:space="preserve"> динара</w:t>
      </w:r>
      <w:r w:rsidRPr="00523472">
        <w:rPr>
          <w:lang w:val="sr-Cyrl-CS"/>
        </w:rPr>
        <w:t xml:space="preserve"> за сваки цео или започети м2.</w:t>
      </w:r>
    </w:p>
    <w:p w:rsidR="00B25059" w:rsidRPr="00523472" w:rsidRDefault="00B25059" w:rsidP="00B25059">
      <w:pPr>
        <w:ind w:firstLine="720"/>
        <w:jc w:val="both"/>
        <w:rPr>
          <w:lang w:val="sr-Cyrl-RS"/>
        </w:rPr>
      </w:pPr>
      <w:r w:rsidRPr="00523472">
        <w:t xml:space="preserve">Накнада се обрачунава на </w:t>
      </w:r>
      <w:r w:rsidRPr="00523472">
        <w:rPr>
          <w:lang w:val="sr-Cyrl-RS"/>
        </w:rPr>
        <w:t>дневном</w:t>
      </w:r>
      <w:r w:rsidRPr="00523472">
        <w:t xml:space="preserve"> нивоу,</w:t>
      </w:r>
      <w:r w:rsidRPr="00523472">
        <w:rPr>
          <w:lang w:val="sr-Cyrl-RS"/>
        </w:rPr>
        <w:t xml:space="preserve"> и плаћа се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Pr>
        <w:jc w:val="center"/>
        <w:rPr>
          <w:b/>
          <w:lang w:val="sr-Cyrl-RS"/>
        </w:rPr>
      </w:pPr>
    </w:p>
    <w:p w:rsidR="00B25059" w:rsidRPr="00523472" w:rsidRDefault="00B25059" w:rsidP="00B25059">
      <w:pPr>
        <w:jc w:val="center"/>
      </w:pPr>
      <w:r w:rsidRPr="00523472">
        <w:t>ТАРИФНИ БРОЈ 1.1</w:t>
      </w:r>
      <w:r w:rsidRPr="00523472">
        <w:rPr>
          <w:lang w:val="sr-Cyrl-RS"/>
        </w:rPr>
        <w:t>0</w:t>
      </w:r>
      <w:r w:rsidRPr="00523472">
        <w:t>.</w:t>
      </w:r>
    </w:p>
    <w:p w:rsidR="00B25059" w:rsidRPr="00523472" w:rsidRDefault="00B25059" w:rsidP="00B25059">
      <w:pPr>
        <w:ind w:firstLine="720"/>
        <w:jc w:val="both"/>
      </w:pPr>
      <w:r w:rsidRPr="00523472">
        <w:t xml:space="preserve">Накнада за коришћење простора на  јавној површини у пословне и друге сврхе плаћа се за  коришћење простора  за постављање сталка за продају хелијум балона,  сталка за продају наочара, опреме за израду </w:t>
      </w:r>
      <w:r w:rsidRPr="00523472">
        <w:rPr>
          <w:lang w:val="sr-Cyrl-RS"/>
        </w:rPr>
        <w:t>ф</w:t>
      </w:r>
      <w:r w:rsidRPr="00523472">
        <w:t xml:space="preserve">отографија на шољама, уређаја за мерење телесне тежине, опреме за плетење кикица и израду привремних тетоважа,  утврђује се у дневном износу по м2, у </w:t>
      </w:r>
      <w:r w:rsidRPr="00523472">
        <w:rPr>
          <w:lang w:val="sr-Cyrl-RS"/>
        </w:rPr>
        <w:t xml:space="preserve">износу од 42 динара за </w:t>
      </w:r>
      <w:r w:rsidRPr="00523472">
        <w:rPr>
          <w:lang w:val="sr-Cyrl-CS"/>
        </w:rPr>
        <w:t xml:space="preserve">сваки цео или започети м2. </w:t>
      </w:r>
    </w:p>
    <w:p w:rsidR="00B25059" w:rsidRPr="00523472" w:rsidRDefault="00B25059" w:rsidP="00B25059">
      <w:pPr>
        <w:ind w:firstLine="720"/>
        <w:jc w:val="both"/>
        <w:rPr>
          <w:lang w:val="sr-Cyrl-RS"/>
        </w:rPr>
      </w:pPr>
      <w:r w:rsidRPr="00523472">
        <w:t xml:space="preserve">Накнада се обрачунава на </w:t>
      </w:r>
      <w:r w:rsidRPr="00523472">
        <w:rPr>
          <w:lang w:val="sr-Cyrl-RS"/>
        </w:rPr>
        <w:t>дневном</w:t>
      </w:r>
      <w:r w:rsidRPr="00523472">
        <w:t xml:space="preserve"> нивоу,</w:t>
      </w:r>
      <w:r w:rsidRPr="00523472">
        <w:rPr>
          <w:lang w:val="sr-Cyrl-RS"/>
        </w:rPr>
        <w:t xml:space="preserve"> и плаћа се у пуном износу пре почетка коришћења накнаде</w:t>
      </w:r>
      <w:r w:rsidRPr="00523472">
        <w:t xml:space="preserve">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w:t>
      </w:r>
    </w:p>
    <w:p w:rsidR="00B25059" w:rsidRPr="00523472" w:rsidRDefault="00B25059" w:rsidP="00B25059">
      <w:pPr>
        <w:jc w:val="center"/>
      </w:pPr>
    </w:p>
    <w:p w:rsidR="00B25059" w:rsidRPr="00523472" w:rsidRDefault="00B25059" w:rsidP="00B25059">
      <w:pPr>
        <w:jc w:val="center"/>
      </w:pPr>
      <w:r w:rsidRPr="00523472">
        <w:t>ТАРИФНИ БРОЈ 1.1</w:t>
      </w:r>
      <w:r w:rsidRPr="00523472">
        <w:rPr>
          <w:lang w:val="sr-Cyrl-RS"/>
        </w:rPr>
        <w:t>1</w:t>
      </w:r>
      <w:r w:rsidRPr="00523472">
        <w:t>.</w:t>
      </w:r>
    </w:p>
    <w:p w:rsidR="00B25059" w:rsidRPr="00523472" w:rsidRDefault="00B25059" w:rsidP="00B25059">
      <w:pPr>
        <w:ind w:firstLine="720"/>
        <w:jc w:val="both"/>
      </w:pPr>
      <w:r w:rsidRPr="00523472">
        <w:t xml:space="preserve">Накнада за коришћење простора на  јавној површини у пословне и друге сврхе плаћа се за  коришћење </w:t>
      </w:r>
      <w:r w:rsidRPr="00523472">
        <w:rPr>
          <w:lang w:val="sr-Cyrl-RS"/>
        </w:rPr>
        <w:t>посебно обележеног простора</w:t>
      </w:r>
      <w:r w:rsidRPr="00523472">
        <w:t xml:space="preserve"> за теретно возило за снабдевање</w:t>
      </w:r>
      <w:r w:rsidRPr="00523472">
        <w:rPr>
          <w:lang w:val="sr-Cyrl-RS"/>
        </w:rPr>
        <w:t xml:space="preserve"> (утовар и истовар робе)</w:t>
      </w:r>
      <w:r w:rsidRPr="00523472">
        <w:t>, а  утврђује</w:t>
      </w:r>
      <w:r w:rsidRPr="00523472">
        <w:rPr>
          <w:lang w:val="sr-Cyrl-RS"/>
        </w:rPr>
        <w:t xml:space="preserve"> дневно </w:t>
      </w:r>
      <w:r w:rsidRPr="00523472">
        <w:t xml:space="preserve"> и то</w:t>
      </w:r>
      <w:r w:rsidRPr="00523472">
        <w:rPr>
          <w:lang w:val="sr-Cyrl-RS"/>
        </w:rPr>
        <w:t xml:space="preserve"> </w:t>
      </w:r>
      <w:r w:rsidRPr="00523472">
        <w:rPr>
          <w:lang w:val="sr-Cyrl-CS"/>
        </w:rPr>
        <w:t xml:space="preserve">за паркинг-места која нису обухваћена Одлуком о јавним паркиралиштима (Сл. лист </w:t>
      </w:r>
      <w:r>
        <w:rPr>
          <w:lang w:val="sr-Cyrl-CS"/>
        </w:rPr>
        <w:t>града</w:t>
      </w:r>
      <w:r w:rsidRPr="00523472">
        <w:rPr>
          <w:lang w:val="sr-Cyrl-CS"/>
        </w:rPr>
        <w:t xml:space="preserve"> Прокупљ</w:t>
      </w:r>
      <w:r>
        <w:rPr>
          <w:lang w:val="sr-Cyrl-CS"/>
        </w:rPr>
        <w:t>а бр.</w:t>
      </w:r>
      <w:r>
        <w:rPr>
          <w:lang w:val="sr-Cyrl-RS"/>
        </w:rPr>
        <w:t>17/2023</w:t>
      </w:r>
      <w:r w:rsidRPr="00523472">
        <w:rPr>
          <w:lang w:val="sr-Cyrl-CS"/>
        </w:rPr>
        <w:t>) и то</w:t>
      </w:r>
      <w:r w:rsidRPr="00523472">
        <w:t xml:space="preserve"> према следећим табелама</w:t>
      </w:r>
      <w:r w:rsidRPr="00523472">
        <w:rPr>
          <w:lang w:val="sr-Cyrl-CS"/>
        </w:rPr>
        <w:t xml:space="preserve">: </w:t>
      </w:r>
    </w:p>
    <w:p w:rsidR="00B25059" w:rsidRPr="00523472" w:rsidRDefault="00B25059" w:rsidP="00B25059">
      <w:pPr>
        <w:rPr>
          <w:lang w:val="sr-Latn-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RS"/>
              </w:rPr>
              <w:t>120</w:t>
            </w:r>
            <w:r w:rsidRPr="00523472">
              <w:t>,00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RS"/>
              </w:rPr>
              <w:t>120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RS"/>
              </w:rPr>
              <w:t>90</w:t>
            </w:r>
            <w:r w:rsidRPr="00523472">
              <w:t>,00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RS"/>
              </w:rPr>
              <w:t>60</w:t>
            </w:r>
            <w:r w:rsidRPr="00523472">
              <w:rPr>
                <w:lang w:val="sr-Cyrl-CS"/>
              </w:rPr>
              <w:t>,00</w:t>
            </w:r>
          </w:p>
        </w:tc>
      </w:tr>
    </w:tbl>
    <w:p w:rsidR="00B25059" w:rsidRPr="00523472" w:rsidRDefault="00B25059" w:rsidP="00B25059">
      <w:pPr>
        <w:ind w:firstLine="709"/>
        <w:jc w:val="both"/>
      </w:pPr>
      <w:r w:rsidRPr="00523472">
        <w:t xml:space="preserve">Накнада се обрачунava, на основу акта организационе јединице </w:t>
      </w:r>
      <w:r w:rsidRPr="00523472">
        <w:rPr>
          <w:lang w:val="sr-Cyrl-RS"/>
        </w:rPr>
        <w:t>Градске</w:t>
      </w:r>
      <w:r w:rsidRPr="00523472">
        <w:t xml:space="preserve"> управе надлежне за послове саобраћаја.</w:t>
      </w:r>
    </w:p>
    <w:p w:rsidR="00B25059" w:rsidRPr="00523472" w:rsidRDefault="00B25059" w:rsidP="00B25059"/>
    <w:p w:rsidR="00B25059" w:rsidRPr="00523472" w:rsidRDefault="00B25059" w:rsidP="00B25059">
      <w:pPr>
        <w:jc w:val="center"/>
        <w:rPr>
          <w:lang w:val="sr-Cyrl-RS"/>
        </w:rPr>
      </w:pPr>
    </w:p>
    <w:p w:rsidR="00B25059" w:rsidRPr="00523472" w:rsidRDefault="00B25059" w:rsidP="00B25059">
      <w:pPr>
        <w:jc w:val="center"/>
      </w:pPr>
      <w:r w:rsidRPr="00523472">
        <w:t>ТАРИФНИ БРОЈ 1.</w:t>
      </w:r>
      <w:r w:rsidRPr="00523472">
        <w:rPr>
          <w:lang w:val="sr-Cyrl-RS"/>
        </w:rPr>
        <w:t>1</w:t>
      </w:r>
      <w:r w:rsidRPr="00523472">
        <w:rPr>
          <w:lang w:val="sr-Cyrl-CS"/>
        </w:rPr>
        <w:t>2</w:t>
      </w:r>
      <w:r w:rsidRPr="00523472">
        <w:t>.</w:t>
      </w:r>
    </w:p>
    <w:p w:rsidR="00B25059" w:rsidRPr="00523472" w:rsidRDefault="00B25059" w:rsidP="00B25059">
      <w:pPr>
        <w:ind w:firstLine="708"/>
        <w:jc w:val="both"/>
      </w:pPr>
      <w:r w:rsidRPr="00523472">
        <w:t xml:space="preserve">Накнада за коришћење простора на  јавној површини у пословне и друге сврхе плаћа се за  коришћење </w:t>
      </w:r>
      <w:r w:rsidRPr="00523472">
        <w:rPr>
          <w:lang w:val="sr-Cyrl-CS"/>
        </w:rPr>
        <w:t xml:space="preserve"> простора </w:t>
      </w:r>
      <w:r w:rsidRPr="00523472">
        <w:t xml:space="preserve"> слободних површина за кампове, постављање шатора и других објеката привременог коришћења, за сваки </w:t>
      </w:r>
      <w:r w:rsidRPr="00523472">
        <w:rPr>
          <w:lang w:val="sr-Cyrl-RS"/>
        </w:rPr>
        <w:t>м</w:t>
      </w:r>
      <w:r w:rsidRPr="00523472">
        <w:rPr>
          <w:vertAlign w:val="superscript"/>
        </w:rPr>
        <w:t>2</w:t>
      </w:r>
      <w:r w:rsidRPr="00523472">
        <w:t xml:space="preserve">  заузете површине у износу од </w:t>
      </w:r>
      <w:r w:rsidRPr="00523472">
        <w:rPr>
          <w:lang w:val="sr-Cyrl-RS"/>
        </w:rPr>
        <w:t>34</w:t>
      </w:r>
      <w:r w:rsidRPr="00523472">
        <w:t>,00 динара дневно.</w:t>
      </w:r>
    </w:p>
    <w:p w:rsidR="00B25059" w:rsidRPr="00523472" w:rsidRDefault="00B25059" w:rsidP="00B25059">
      <w:pPr>
        <w:ind w:firstLine="708"/>
        <w:jc w:val="both"/>
        <w:rPr>
          <w:lang w:val="sr-Cyrl-CS"/>
        </w:rPr>
      </w:pPr>
      <w:r w:rsidRPr="00523472">
        <w:t xml:space="preserve">Накнада се обрачунава на </w:t>
      </w:r>
      <w:r w:rsidRPr="00523472">
        <w:rPr>
          <w:lang w:val="sr-Cyrl-RS"/>
        </w:rPr>
        <w:t>месечном</w:t>
      </w:r>
      <w:r w:rsidRPr="00523472">
        <w:t xml:space="preserve"> нивоу,</w:t>
      </w:r>
      <w:r w:rsidRPr="00523472">
        <w:rPr>
          <w:lang w:val="sr-Cyrl-RS"/>
        </w:rPr>
        <w:t xml:space="preserve"> </w:t>
      </w:r>
      <w:r w:rsidRPr="00523472">
        <w:t xml:space="preserve">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p>
    <w:p w:rsidR="00B25059" w:rsidRDefault="00B25059" w:rsidP="00B25059">
      <w:pPr>
        <w:jc w:val="center"/>
      </w:pPr>
    </w:p>
    <w:p w:rsidR="00B25059" w:rsidRDefault="00B25059" w:rsidP="00B25059">
      <w:pPr>
        <w:jc w:val="center"/>
      </w:pPr>
    </w:p>
    <w:p w:rsidR="00B25059" w:rsidRDefault="00B25059" w:rsidP="00B25059">
      <w:pPr>
        <w:jc w:val="center"/>
      </w:pPr>
    </w:p>
    <w:p w:rsidR="00B25059" w:rsidRPr="00523472" w:rsidRDefault="00B25059" w:rsidP="00B25059">
      <w:pPr>
        <w:jc w:val="center"/>
      </w:pPr>
      <w:r w:rsidRPr="00523472">
        <w:lastRenderedPageBreak/>
        <w:t>ТАРИФНИ БРОЈ 1.</w:t>
      </w:r>
      <w:r w:rsidRPr="00523472">
        <w:rPr>
          <w:lang w:val="sr-Cyrl-RS"/>
        </w:rPr>
        <w:t>1</w:t>
      </w:r>
      <w:r w:rsidRPr="00523472">
        <w:rPr>
          <w:lang w:val="sr-Cyrl-CS"/>
        </w:rPr>
        <w:t>3</w:t>
      </w:r>
      <w:r w:rsidRPr="00523472">
        <w:t>.</w:t>
      </w:r>
    </w:p>
    <w:p w:rsidR="00B25059" w:rsidRPr="00523472" w:rsidRDefault="00B25059" w:rsidP="00B25059">
      <w:pPr>
        <w:ind w:firstLine="720"/>
        <w:jc w:val="both"/>
        <w:rPr>
          <w:lang w:val="sr-Cyrl-CS"/>
        </w:rPr>
      </w:pPr>
      <w:r w:rsidRPr="00523472">
        <w:t xml:space="preserve">Накнада за коришћење простора на  јавној површини у пословне и друге сврхе плаћа се за  коришћење простора за постављање </w:t>
      </w:r>
      <w:r w:rsidRPr="00523472">
        <w:rPr>
          <w:lang w:val="sr-Cyrl-RS"/>
        </w:rPr>
        <w:t>тенди, улазних степеништа и др.</w:t>
      </w:r>
      <w:r w:rsidRPr="00523472">
        <w:t>, а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30,00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24,00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3.</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22,00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4.</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jc w:val="both"/>
      </w:pPr>
      <w:r w:rsidRPr="00523472">
        <w:tab/>
        <w:t>Накнад</w:t>
      </w:r>
      <w:r w:rsidRPr="00523472">
        <w:rPr>
          <w:lang w:val="sr-Cyrl-RS"/>
        </w:rPr>
        <w:t>у</w:t>
      </w:r>
      <w:r w:rsidRPr="00523472">
        <w:t xml:space="preserve"> из овог тарифног броја плаћа правно лице</w:t>
      </w:r>
      <w:r w:rsidRPr="00523472">
        <w:rPr>
          <w:lang w:val="sr-Cyrl-RS"/>
        </w:rPr>
        <w:t xml:space="preserve"> и</w:t>
      </w:r>
      <w:r w:rsidRPr="00523472">
        <w:t xml:space="preserve"> предузетник  на основу решења </w:t>
      </w:r>
      <w:r w:rsidRPr="00523472">
        <w:rPr>
          <w:lang w:val="sr-Cyrl-CS"/>
        </w:rPr>
        <w:t>Градске</w:t>
      </w:r>
      <w:r w:rsidRPr="00523472">
        <w:t xml:space="preserve"> управе, Оде</w:t>
      </w:r>
      <w:r w:rsidRPr="00523472">
        <w:rPr>
          <w:lang w:val="sr-Cyrl-CS"/>
        </w:rPr>
        <w:t>љ</w:t>
      </w:r>
      <w:r w:rsidRPr="00523472">
        <w:t xml:space="preserve">ења локалне пореске администрације, а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xml:space="preserve">. </w:t>
      </w:r>
    </w:p>
    <w:p w:rsidR="00B25059" w:rsidRPr="00523472" w:rsidRDefault="00B25059" w:rsidP="00B25059">
      <w:pPr>
        <w:ind w:firstLine="720"/>
        <w:jc w:val="both"/>
        <w:rPr>
          <w:lang w:val="sr-Cyrl-RS"/>
        </w:rPr>
      </w:pPr>
      <w:r w:rsidRPr="00523472">
        <w:rPr>
          <w:lang w:val="sr-Cyrl-RS"/>
        </w:rPr>
        <w:t xml:space="preserve">У </w:t>
      </w:r>
      <w:r w:rsidRPr="00523472">
        <w:t xml:space="preserve">случају коришћења </w:t>
      </w:r>
      <w:r w:rsidRPr="00523472">
        <w:rPr>
          <w:lang w:val="sr-Cyrl-RS"/>
        </w:rPr>
        <w:t>накнаде</w:t>
      </w:r>
      <w:r w:rsidRPr="00523472">
        <w:t xml:space="preserve"> током целе године, </w:t>
      </w:r>
      <w:r w:rsidRPr="00523472">
        <w:rPr>
          <w:lang w:val="sr-Cyrl-RS"/>
        </w:rPr>
        <w:t>накнада</w:t>
      </w:r>
      <w:r w:rsidRPr="00523472">
        <w:t xml:space="preserve"> се умањује за 20%</w:t>
      </w:r>
      <w:r w:rsidRPr="00523472">
        <w:rPr>
          <w:lang w:val="sr-Cyrl-RS"/>
        </w:rPr>
        <w:t>.</w:t>
      </w:r>
    </w:p>
    <w:p w:rsidR="00B25059" w:rsidRPr="00523472" w:rsidRDefault="00B25059" w:rsidP="00B25059">
      <w:pPr>
        <w:jc w:val="center"/>
        <w:rPr>
          <w:lang w:val="sr-Cyrl-RS"/>
        </w:rPr>
      </w:pPr>
    </w:p>
    <w:p w:rsidR="00B25059" w:rsidRPr="00523472" w:rsidRDefault="00B25059" w:rsidP="00B25059">
      <w:pPr>
        <w:jc w:val="center"/>
      </w:pPr>
      <w:r w:rsidRPr="00523472">
        <w:t>ТАРИФНИ БРОЈ 1.</w:t>
      </w:r>
      <w:r w:rsidRPr="00523472">
        <w:rPr>
          <w:lang w:val="sr-Cyrl-RS"/>
        </w:rPr>
        <w:t>1</w:t>
      </w:r>
      <w:r w:rsidRPr="00523472">
        <w:rPr>
          <w:lang w:val="sr-Cyrl-CS"/>
        </w:rPr>
        <w:t>4</w:t>
      </w:r>
      <w:r w:rsidRPr="00523472">
        <w:t>.</w:t>
      </w:r>
    </w:p>
    <w:p w:rsidR="00B25059" w:rsidRPr="00523472" w:rsidRDefault="00B25059" w:rsidP="00B25059">
      <w:pPr>
        <w:ind w:firstLine="720"/>
        <w:jc w:val="both"/>
        <w:rPr>
          <w:lang w:val="sr-Cyrl-RS"/>
        </w:rPr>
      </w:pPr>
      <w:r w:rsidRPr="00523472">
        <w:t xml:space="preserve">Накнада за коришћење простора на  јавној површини у пословне и друге сврхе плаћа се за  коришћење простора за </w:t>
      </w:r>
      <w:r w:rsidRPr="00523472">
        <w:rPr>
          <w:lang w:val="sr-Cyrl-RS"/>
        </w:rPr>
        <w:t>полигон за практичну обуку возача (полигон)</w:t>
      </w:r>
      <w:r w:rsidRPr="00523472">
        <w:rPr>
          <w:lang w:val="sr-Cyrl-CS"/>
        </w:rPr>
        <w:t xml:space="preserve">, </w:t>
      </w:r>
      <w:r w:rsidRPr="00523472">
        <w:t xml:space="preserve">утврђује </w:t>
      </w:r>
      <w:r w:rsidRPr="00523472">
        <w:rPr>
          <w:lang w:val="sr-Cyrl-RS"/>
        </w:rPr>
        <w:t xml:space="preserve">се </w:t>
      </w:r>
      <w:r w:rsidRPr="00523472">
        <w:t>дневн</w:t>
      </w:r>
      <w:r w:rsidRPr="00523472">
        <w:rPr>
          <w:lang w:val="sr-Cyrl-CS"/>
        </w:rPr>
        <w:t>о</w:t>
      </w:r>
      <w:r w:rsidRPr="00523472">
        <w:t xml:space="preserve"> </w:t>
      </w:r>
      <w:r w:rsidRPr="00523472">
        <w:rPr>
          <w:lang w:val="sr-Cyrl-CS"/>
        </w:rPr>
        <w:t xml:space="preserve">у </w:t>
      </w:r>
      <w:r w:rsidRPr="00523472">
        <w:t xml:space="preserve">износу од </w:t>
      </w:r>
      <w:r w:rsidRPr="00523472">
        <w:rPr>
          <w:lang w:val="sr-Cyrl-CS"/>
        </w:rPr>
        <w:t>0.60</w:t>
      </w:r>
      <w:r w:rsidRPr="00523472">
        <w:t xml:space="preserve"> динара</w:t>
      </w:r>
      <w:r w:rsidRPr="00523472">
        <w:rPr>
          <w:lang w:val="sr-Cyrl-CS"/>
        </w:rPr>
        <w:t xml:space="preserve"> за м2.</w:t>
      </w:r>
    </w:p>
    <w:p w:rsidR="00B25059" w:rsidRPr="00523472" w:rsidRDefault="00B25059" w:rsidP="00B25059">
      <w:pPr>
        <w:rPr>
          <w:lang w:val="sr-Cyrl-RS"/>
        </w:rPr>
      </w:pPr>
    </w:p>
    <w:p w:rsidR="00B25059" w:rsidRPr="00523472" w:rsidRDefault="00B25059" w:rsidP="00B25059">
      <w:pPr>
        <w:jc w:val="center"/>
      </w:pPr>
      <w:r w:rsidRPr="00523472">
        <w:t>ТАРИФНИ БРОЈ 1.</w:t>
      </w:r>
      <w:r w:rsidRPr="00523472">
        <w:rPr>
          <w:lang w:val="sr-Cyrl-RS"/>
        </w:rPr>
        <w:t>1</w:t>
      </w:r>
      <w:r w:rsidRPr="00523472">
        <w:rPr>
          <w:lang w:val="sr-Cyrl-CS"/>
        </w:rPr>
        <w:t>5</w:t>
      </w:r>
      <w:r w:rsidRPr="00523472">
        <w:t>.</w:t>
      </w:r>
    </w:p>
    <w:p w:rsidR="00B25059" w:rsidRPr="00523472" w:rsidRDefault="00B25059" w:rsidP="00B25059">
      <w:pPr>
        <w:ind w:firstLine="720"/>
        <w:jc w:val="both"/>
        <w:rPr>
          <w:lang w:val="sr-Cyrl-CS"/>
        </w:rPr>
      </w:pPr>
      <w:r w:rsidRPr="00523472">
        <w:t xml:space="preserve">Накнада за коришћење простора на  јавној површини у пословне и друге сврхе плаћа се за  коришћење простора </w:t>
      </w:r>
      <w:r w:rsidRPr="00523472">
        <w:rPr>
          <w:lang w:val="sr-Cyrl-RS"/>
        </w:rPr>
        <w:t>које нису посебно наведебе у овом тарифном броју</w:t>
      </w:r>
      <w:r w:rsidRPr="00523472">
        <w:t>,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72,00</w:t>
            </w:r>
          </w:p>
        </w:tc>
      </w:tr>
      <w:tr w:rsidR="00B25059" w:rsidRPr="00523472" w:rsidTr="00910F65">
        <w:trPr>
          <w:trHeight w:val="33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66,00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3.</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24,00</w:t>
            </w:r>
          </w:p>
        </w:tc>
      </w:tr>
      <w:tr w:rsidR="00B25059" w:rsidRPr="00523472" w:rsidTr="00910F65">
        <w:trPr>
          <w:trHeight w:val="294"/>
        </w:trPr>
        <w:tc>
          <w:tcPr>
            <w:tcW w:w="558" w:type="dxa"/>
          </w:tcPr>
          <w:p w:rsidR="00B25059" w:rsidRPr="00523472" w:rsidRDefault="00B25059" w:rsidP="00910F65">
            <w:pPr>
              <w:overflowPunct w:val="0"/>
              <w:autoSpaceDE w:val="0"/>
              <w:autoSpaceDN w:val="0"/>
              <w:adjustRightInd w:val="0"/>
              <w:jc w:val="center"/>
              <w:rPr>
                <w:b/>
                <w:lang w:val="sr-Cyrl-CS"/>
              </w:rPr>
            </w:pPr>
            <w:r w:rsidRPr="00523472">
              <w:rPr>
                <w:b/>
                <w:lang w:val="sr-Cyrl-CS"/>
              </w:rPr>
              <w:t>4.</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ind w:firstLine="709"/>
        <w:jc w:val="both"/>
        <w:rPr>
          <w:lang w:val="sr-Cyrl-CS"/>
        </w:rPr>
      </w:pPr>
      <w:r w:rsidRPr="00523472">
        <w:t xml:space="preserve">Накнада се обрачунава на месечном нивоу, на основу акта организационе јединице </w:t>
      </w:r>
      <w:r w:rsidRPr="00523472">
        <w:rPr>
          <w:lang w:val="sr-Cyrl-RS"/>
        </w:rPr>
        <w:t>Градске</w:t>
      </w:r>
      <w:r w:rsidRPr="00523472">
        <w:t xml:space="preserve"> управе надлежне за урбанизам и имовинско правне послове.</w:t>
      </w:r>
    </w:p>
    <w:p w:rsidR="00B25059" w:rsidRPr="00523472" w:rsidRDefault="00B25059" w:rsidP="00B25059">
      <w:pPr>
        <w:ind w:firstLine="709"/>
        <w:jc w:val="both"/>
        <w:rPr>
          <w:lang w:val="sr-Cyrl-CS"/>
        </w:rPr>
      </w:pPr>
    </w:p>
    <w:p w:rsidR="00B25059" w:rsidRPr="00523472" w:rsidRDefault="00B25059" w:rsidP="00B25059">
      <w:pPr>
        <w:jc w:val="center"/>
      </w:pPr>
    </w:p>
    <w:p w:rsidR="00B25059" w:rsidRPr="00523472" w:rsidRDefault="00B25059" w:rsidP="00B25059">
      <w:pPr>
        <w:jc w:val="center"/>
      </w:pPr>
      <w:r w:rsidRPr="00523472">
        <w:t>ТАРИФНИ БРОЈ 2.</w:t>
      </w:r>
      <w:r w:rsidRPr="00523472">
        <w:rPr>
          <w:lang w:val="sr-Cyrl-RS"/>
        </w:rPr>
        <w:t>1</w:t>
      </w:r>
      <w:r w:rsidRPr="00523472">
        <w:t>.</w:t>
      </w:r>
    </w:p>
    <w:p w:rsidR="00B25059" w:rsidRPr="00523472" w:rsidRDefault="00B25059" w:rsidP="00B25059">
      <w:pPr>
        <w:ind w:firstLine="720"/>
        <w:jc w:val="both"/>
        <w:rPr>
          <w:lang w:val="sr-Cyrl-RS"/>
        </w:rPr>
      </w:pPr>
      <w:r w:rsidRPr="00523472">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рекламних штандова,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42</w:t>
            </w:r>
            <w:r w:rsidRPr="00523472">
              <w:t>,00</w:t>
            </w:r>
          </w:p>
        </w:tc>
      </w:tr>
      <w:tr w:rsidR="00B25059" w:rsidRPr="00523472" w:rsidTr="00910F65">
        <w:trPr>
          <w:trHeight w:val="518"/>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36</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24</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jc w:val="both"/>
      </w:pPr>
      <w:r w:rsidRPr="00523472">
        <w:tab/>
        <w:t>Накнад</w:t>
      </w:r>
      <w:r w:rsidRPr="00523472">
        <w:rPr>
          <w:lang w:val="sr-Cyrl-RS"/>
        </w:rPr>
        <w:t>у</w:t>
      </w:r>
      <w:r w:rsidRPr="00523472">
        <w:t xml:space="preserve"> из овог тарифног броја плаћа правно лице</w:t>
      </w:r>
      <w:r w:rsidRPr="00523472">
        <w:rPr>
          <w:lang w:val="sr-Cyrl-RS"/>
        </w:rPr>
        <w:t xml:space="preserve">, </w:t>
      </w:r>
      <w:r w:rsidRPr="00523472">
        <w:t>предузетник</w:t>
      </w:r>
      <w:r w:rsidRPr="00523472">
        <w:rPr>
          <w:lang w:val="sr-Cyrl-RS"/>
        </w:rPr>
        <w:t xml:space="preserve"> и физичко лице</w:t>
      </w:r>
      <w:r w:rsidRPr="00523472">
        <w:t xml:space="preserve"> на основу решења </w:t>
      </w:r>
      <w:r w:rsidRPr="00523472">
        <w:rPr>
          <w:lang w:val="sr-Cyrl-CS"/>
        </w:rPr>
        <w:t>Градске</w:t>
      </w:r>
      <w:r w:rsidRPr="00523472">
        <w:t xml:space="preserve"> управе, Оде</w:t>
      </w:r>
      <w:r w:rsidRPr="00523472">
        <w:rPr>
          <w:lang w:val="sr-Cyrl-CS"/>
        </w:rPr>
        <w:t>љ</w:t>
      </w:r>
      <w:r w:rsidRPr="00523472">
        <w:t xml:space="preserve">ења локалне пореске администрације, а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xml:space="preserve">. </w:t>
      </w:r>
    </w:p>
    <w:p w:rsidR="00B25059" w:rsidRDefault="00B25059" w:rsidP="00B25059">
      <w:pPr>
        <w:jc w:val="center"/>
        <w:rPr>
          <w:lang w:val="sr-Cyrl-RS"/>
        </w:rPr>
      </w:pPr>
    </w:p>
    <w:p w:rsidR="00B25059" w:rsidRPr="00523472" w:rsidRDefault="00B25059" w:rsidP="00B25059">
      <w:pPr>
        <w:jc w:val="center"/>
        <w:rPr>
          <w:lang w:val="sr-Cyrl-RS"/>
        </w:rPr>
      </w:pPr>
    </w:p>
    <w:p w:rsidR="00B25059" w:rsidRPr="00523472" w:rsidRDefault="00B25059" w:rsidP="00B25059">
      <w:pPr>
        <w:jc w:val="center"/>
      </w:pPr>
      <w:r w:rsidRPr="00523472">
        <w:lastRenderedPageBreak/>
        <w:t>ТАРИФНИ БРОЈ 2.2.</w:t>
      </w:r>
    </w:p>
    <w:p w:rsidR="00B25059" w:rsidRPr="00523472" w:rsidRDefault="00B25059" w:rsidP="00B25059">
      <w:pPr>
        <w:ind w:firstLine="720"/>
        <w:jc w:val="both"/>
      </w:pPr>
      <w:r w:rsidRPr="00523472">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билборда, а  утврђује се у дневном износу по м2, у зависности од зоне и то:</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42</w:t>
            </w:r>
            <w:r w:rsidRPr="00523472">
              <w:t>,00</w:t>
            </w:r>
          </w:p>
        </w:tc>
      </w:tr>
      <w:tr w:rsidR="00B25059" w:rsidRPr="00523472" w:rsidTr="00910F65">
        <w:trPr>
          <w:trHeight w:val="518"/>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36</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24</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jc w:val="both"/>
      </w:pPr>
      <w:r w:rsidRPr="00523472">
        <w:tab/>
        <w:t>Накнад</w:t>
      </w:r>
      <w:r w:rsidRPr="00523472">
        <w:rPr>
          <w:lang w:val="sr-Cyrl-RS"/>
        </w:rPr>
        <w:t>у</w:t>
      </w:r>
      <w:r w:rsidRPr="00523472">
        <w:t xml:space="preserve"> из овог тарифног броја плаћа правно лице</w:t>
      </w:r>
      <w:r w:rsidRPr="00523472">
        <w:rPr>
          <w:lang w:val="sr-Cyrl-RS"/>
        </w:rPr>
        <w:t xml:space="preserve">, </w:t>
      </w:r>
      <w:r w:rsidRPr="00523472">
        <w:t>предузетник</w:t>
      </w:r>
      <w:r w:rsidRPr="00523472">
        <w:rPr>
          <w:lang w:val="sr-Cyrl-RS"/>
        </w:rPr>
        <w:t xml:space="preserve"> и физичко лице</w:t>
      </w:r>
      <w:r w:rsidRPr="00523472">
        <w:t xml:space="preserve"> на основу решења </w:t>
      </w:r>
      <w:r w:rsidRPr="00523472">
        <w:rPr>
          <w:lang w:val="sr-Cyrl-CS"/>
        </w:rPr>
        <w:t>Градске</w:t>
      </w:r>
      <w:r w:rsidRPr="00523472">
        <w:t xml:space="preserve"> управе, Оде</w:t>
      </w:r>
      <w:r w:rsidRPr="00523472">
        <w:rPr>
          <w:lang w:val="sr-Cyrl-CS"/>
        </w:rPr>
        <w:t>љ</w:t>
      </w:r>
      <w:r w:rsidRPr="00523472">
        <w:t xml:space="preserve">ења локалне пореске администрације, а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xml:space="preserve">. </w:t>
      </w:r>
    </w:p>
    <w:p w:rsidR="00B25059" w:rsidRPr="00523472" w:rsidRDefault="00B25059" w:rsidP="00B25059">
      <w:pPr>
        <w:jc w:val="center"/>
      </w:pPr>
    </w:p>
    <w:p w:rsidR="00B25059" w:rsidRPr="00523472" w:rsidRDefault="00B25059" w:rsidP="00B25059">
      <w:pPr>
        <w:jc w:val="center"/>
      </w:pPr>
      <w:r w:rsidRPr="00523472">
        <w:t>ТАРИФНИ БРОЈ 2.3.</w:t>
      </w:r>
    </w:p>
    <w:p w:rsidR="00B25059" w:rsidRPr="00523472" w:rsidRDefault="00B25059" w:rsidP="00B25059">
      <w:pPr>
        <w:ind w:firstLine="720"/>
        <w:jc w:val="both"/>
        <w:rPr>
          <w:lang w:val="sr-Cyrl-RS"/>
        </w:rPr>
      </w:pPr>
      <w:r w:rsidRPr="00523472">
        <w:t>Накнада за коришћење јавног простора за оглашавање за сопствене потребе и потребе других лица,  као и за коришћење површине и објеката за оглашавање за сопствене потребе и за потребе других лица којима се врши непосредни утицај на расположивост, квалитет или неку другу особину јавне површине, за коју дозволу издаје надлежни орган јединице локлане самоуправе, плаћа се за постављање табле, паноа или друге рекламне ознаке, а  утврђује се у дневном износу по м2, у зависности од зоне и то:</w:t>
      </w:r>
    </w:p>
    <w:p w:rsidR="00B25059" w:rsidRPr="00523472" w:rsidRDefault="00B25059" w:rsidP="00B25059">
      <w:pPr>
        <w:ind w:firstLine="720"/>
        <w:jc w:val="both"/>
        <w:rPr>
          <w:lang w:val="sr-Cyrl-RS"/>
        </w:rPr>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584"/>
        <w:gridCol w:w="2724"/>
      </w:tblGrid>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1.</w:t>
            </w:r>
          </w:p>
        </w:tc>
        <w:tc>
          <w:tcPr>
            <w:tcW w:w="4584" w:type="dxa"/>
          </w:tcPr>
          <w:p w:rsidR="00B25059" w:rsidRPr="00523472" w:rsidRDefault="00B25059" w:rsidP="00910F65">
            <w:pPr>
              <w:overflowPunct w:val="0"/>
              <w:autoSpaceDE w:val="0"/>
              <w:autoSpaceDN w:val="0"/>
              <w:adjustRightInd w:val="0"/>
              <w:jc w:val="both"/>
              <w:rPr>
                <w:b/>
                <w:lang w:val="sr-Cyrl-CS"/>
              </w:rPr>
            </w:pPr>
            <w:r w:rsidRPr="00523472">
              <w:rPr>
                <w:b/>
                <w:lang w:val="sr-Cyrl-CS"/>
              </w:rPr>
              <w:t>Екстра зона</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42</w:t>
            </w:r>
            <w:r w:rsidRPr="00523472">
              <w:t>,00</w:t>
            </w:r>
          </w:p>
        </w:tc>
      </w:tr>
      <w:tr w:rsidR="00B25059" w:rsidRPr="00523472" w:rsidTr="00910F65">
        <w:trPr>
          <w:trHeight w:val="518"/>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rPr>
              <w:t>2.</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1</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36</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3</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2</w:t>
            </w:r>
          </w:p>
        </w:tc>
        <w:tc>
          <w:tcPr>
            <w:tcW w:w="2724" w:type="dxa"/>
            <w:vAlign w:val="center"/>
          </w:tcPr>
          <w:p w:rsidR="00B25059" w:rsidRPr="00523472" w:rsidRDefault="00B25059" w:rsidP="00910F65">
            <w:pPr>
              <w:overflowPunct w:val="0"/>
              <w:autoSpaceDE w:val="0"/>
              <w:autoSpaceDN w:val="0"/>
              <w:adjustRightInd w:val="0"/>
              <w:jc w:val="right"/>
            </w:pPr>
            <w:r w:rsidRPr="00523472">
              <w:rPr>
                <w:lang w:val="sr-Cyrl-CS"/>
              </w:rPr>
              <w:t>24</w:t>
            </w:r>
            <w:r w:rsidRPr="00523472">
              <w:t>,00</w:t>
            </w:r>
          </w:p>
        </w:tc>
      </w:tr>
      <w:tr w:rsidR="00B25059" w:rsidRPr="00523472" w:rsidTr="00910F65">
        <w:trPr>
          <w:trHeight w:val="294"/>
        </w:trPr>
        <w:tc>
          <w:tcPr>
            <w:tcW w:w="558" w:type="dxa"/>
            <w:vAlign w:val="center"/>
          </w:tcPr>
          <w:p w:rsidR="00B25059" w:rsidRPr="00523472" w:rsidRDefault="00B25059" w:rsidP="00910F65">
            <w:pPr>
              <w:overflowPunct w:val="0"/>
              <w:autoSpaceDE w:val="0"/>
              <w:autoSpaceDN w:val="0"/>
              <w:adjustRightInd w:val="0"/>
              <w:jc w:val="center"/>
              <w:rPr>
                <w:b/>
              </w:rPr>
            </w:pPr>
            <w:r w:rsidRPr="00523472">
              <w:rPr>
                <w:b/>
                <w:lang w:val="sr-Cyrl-CS"/>
              </w:rPr>
              <w:t>4</w:t>
            </w:r>
            <w:r w:rsidRPr="00523472">
              <w:rPr>
                <w:b/>
              </w:rPr>
              <w:t>.</w:t>
            </w:r>
          </w:p>
        </w:tc>
        <w:tc>
          <w:tcPr>
            <w:tcW w:w="4584" w:type="dxa"/>
            <w:vAlign w:val="center"/>
          </w:tcPr>
          <w:p w:rsidR="00B25059" w:rsidRPr="00523472" w:rsidRDefault="00B25059" w:rsidP="00910F65">
            <w:pPr>
              <w:overflowPunct w:val="0"/>
              <w:autoSpaceDE w:val="0"/>
              <w:autoSpaceDN w:val="0"/>
              <w:adjustRightInd w:val="0"/>
              <w:jc w:val="both"/>
              <w:rPr>
                <w:b/>
                <w:lang w:val="sr-Cyrl-CS"/>
              </w:rPr>
            </w:pPr>
            <w:r w:rsidRPr="00523472">
              <w:rPr>
                <w:b/>
                <w:lang w:val="sr-Cyrl-CS"/>
              </w:rPr>
              <w:t>Зона 3</w:t>
            </w:r>
          </w:p>
        </w:tc>
        <w:tc>
          <w:tcPr>
            <w:tcW w:w="2724" w:type="dxa"/>
            <w:vAlign w:val="center"/>
          </w:tcPr>
          <w:p w:rsidR="00B25059" w:rsidRPr="00523472" w:rsidRDefault="00B25059" w:rsidP="00910F65">
            <w:pPr>
              <w:overflowPunct w:val="0"/>
              <w:autoSpaceDE w:val="0"/>
              <w:autoSpaceDN w:val="0"/>
              <w:adjustRightInd w:val="0"/>
              <w:jc w:val="right"/>
              <w:rPr>
                <w:lang w:val="sr-Cyrl-CS"/>
              </w:rPr>
            </w:pPr>
            <w:r w:rsidRPr="00523472">
              <w:rPr>
                <w:lang w:val="sr-Cyrl-CS"/>
              </w:rPr>
              <w:t>18,00</w:t>
            </w:r>
          </w:p>
        </w:tc>
      </w:tr>
    </w:tbl>
    <w:p w:rsidR="00B25059" w:rsidRPr="00523472" w:rsidRDefault="00B25059" w:rsidP="00B25059">
      <w:pPr>
        <w:jc w:val="both"/>
      </w:pPr>
      <w:r w:rsidRPr="00523472">
        <w:tab/>
        <w:t>Накнад</w:t>
      </w:r>
      <w:r w:rsidRPr="00523472">
        <w:rPr>
          <w:lang w:val="sr-Cyrl-RS"/>
        </w:rPr>
        <w:t>у</w:t>
      </w:r>
      <w:r w:rsidRPr="00523472">
        <w:t xml:space="preserve"> из овог тарифног броја плаћа правно лице</w:t>
      </w:r>
      <w:r w:rsidRPr="00523472">
        <w:rPr>
          <w:lang w:val="sr-Cyrl-RS"/>
        </w:rPr>
        <w:t xml:space="preserve">, </w:t>
      </w:r>
      <w:r w:rsidRPr="00523472">
        <w:t>предузетник</w:t>
      </w:r>
      <w:r w:rsidRPr="00523472">
        <w:rPr>
          <w:lang w:val="sr-Cyrl-RS"/>
        </w:rPr>
        <w:t xml:space="preserve"> и физичко лице</w:t>
      </w:r>
      <w:r w:rsidRPr="00523472">
        <w:t xml:space="preserve"> на основу решења </w:t>
      </w:r>
      <w:r w:rsidRPr="00523472">
        <w:rPr>
          <w:lang w:val="sr-Cyrl-CS"/>
        </w:rPr>
        <w:t>Градске</w:t>
      </w:r>
      <w:r w:rsidRPr="00523472">
        <w:t xml:space="preserve"> управе, Оде</w:t>
      </w:r>
      <w:r w:rsidRPr="00523472">
        <w:rPr>
          <w:lang w:val="sr-Cyrl-CS"/>
        </w:rPr>
        <w:t>љ</w:t>
      </w:r>
      <w:r w:rsidRPr="00523472">
        <w:t xml:space="preserve">ења локалне пореске администрације, а по претходно издатом одобрењу </w:t>
      </w:r>
      <w:r w:rsidRPr="00523472">
        <w:rPr>
          <w:lang w:val="sr-Cyrl-CS"/>
        </w:rPr>
        <w:t>Градске</w:t>
      </w:r>
      <w:r w:rsidRPr="00523472">
        <w:t xml:space="preserve"> управе, Оде</w:t>
      </w:r>
      <w:r w:rsidRPr="00523472">
        <w:rPr>
          <w:lang w:val="sr-Cyrl-CS"/>
        </w:rPr>
        <w:t>љ</w:t>
      </w:r>
      <w:r w:rsidRPr="00523472">
        <w:t>ење за урбанизам, стамбено</w:t>
      </w:r>
      <w:r w:rsidRPr="00523472">
        <w:rPr>
          <w:lang w:val="sr-Cyrl-CS"/>
        </w:rPr>
        <w:t>-</w:t>
      </w:r>
      <w:r w:rsidRPr="00523472">
        <w:t>комуналне</w:t>
      </w:r>
      <w:r w:rsidRPr="00523472">
        <w:rPr>
          <w:lang w:val="sr-Cyrl-CS"/>
        </w:rPr>
        <w:t xml:space="preserve"> делатности и грађевинарство</w:t>
      </w:r>
      <w:r w:rsidRPr="00523472">
        <w:t xml:space="preserve">. </w:t>
      </w:r>
    </w:p>
    <w:p w:rsidR="00B25059" w:rsidRPr="00523472" w:rsidRDefault="00B25059" w:rsidP="00B25059">
      <w:pPr>
        <w:jc w:val="center"/>
      </w:pPr>
    </w:p>
    <w:p w:rsidR="00B25059" w:rsidRDefault="00B25059" w:rsidP="00B25059">
      <w:pPr>
        <w:jc w:val="center"/>
      </w:pPr>
      <w:r w:rsidRPr="00523472">
        <w:t>ТАРИФНИ БРОЈ 3.</w:t>
      </w:r>
    </w:p>
    <w:p w:rsidR="00B25059" w:rsidRPr="00523472" w:rsidRDefault="00B25059" w:rsidP="00B25059">
      <w:pPr>
        <w:jc w:val="center"/>
      </w:pPr>
    </w:p>
    <w:p w:rsidR="00B25059" w:rsidRPr="00523472" w:rsidRDefault="00B25059" w:rsidP="00B25059">
      <w:pPr>
        <w:ind w:firstLine="720"/>
        <w:jc w:val="both"/>
      </w:pPr>
      <w:r w:rsidRPr="00523472">
        <w:t>Накнада за коришћење јавног простора  се плаћа за коришћење јавне површине по основу заузећа грађевинским материјалом и за извођење грађевинских радова и изградњу, а  утврђује се у дневном износу по м2, и то:</w:t>
      </w:r>
    </w:p>
    <w:p w:rsidR="00B25059" w:rsidRPr="00523472" w:rsidRDefault="00B25059" w:rsidP="00B25059">
      <w:pPr>
        <w:ind w:firstLine="720"/>
        <w:jc w:val="both"/>
        <w:rPr>
          <w:lang w:val="sr-Cyrl-CS"/>
        </w:rPr>
      </w:pPr>
      <w:r w:rsidRPr="00523472">
        <w:rPr>
          <w:lang w:val="sr-Cyrl-CS"/>
        </w:rPr>
        <w:t xml:space="preserve">-при изградњи објеката по </w:t>
      </w:r>
      <w:r w:rsidRPr="00523472">
        <w:rPr>
          <w:lang w:val="sr-Cyrl-RS"/>
        </w:rPr>
        <w:t>м</w:t>
      </w:r>
      <w:r w:rsidRPr="00523472">
        <w:rPr>
          <w:vertAlign w:val="superscript"/>
          <w:lang w:val="sr-Cyrl-CS"/>
        </w:rPr>
        <w:t>2</w:t>
      </w:r>
      <w:r w:rsidRPr="00523472">
        <w:rPr>
          <w:lang w:val="sr-Cyrl-CS"/>
        </w:rPr>
        <w:t xml:space="preserve"> заузе</w:t>
      </w:r>
      <w:r>
        <w:rPr>
          <w:lang w:val="sr-Cyrl-CS"/>
        </w:rPr>
        <w:t>те површине.................</w:t>
      </w:r>
      <w:r w:rsidRPr="00523472">
        <w:rPr>
          <w:lang w:val="sr-Cyrl-CS"/>
        </w:rPr>
        <w:t xml:space="preserve">................................ </w:t>
      </w:r>
      <w:r w:rsidRPr="00523472">
        <w:rPr>
          <w:lang w:val="sr-Latn-RS"/>
        </w:rPr>
        <w:t>203,95</w:t>
      </w:r>
      <w:r w:rsidRPr="00523472">
        <w:rPr>
          <w:lang w:val="sr-Cyrl-CS"/>
        </w:rPr>
        <w:t xml:space="preserve"> дин</w:t>
      </w:r>
    </w:p>
    <w:p w:rsidR="00B25059" w:rsidRPr="00523472" w:rsidRDefault="00B25059" w:rsidP="00B25059">
      <w:pPr>
        <w:ind w:firstLine="720"/>
        <w:jc w:val="both"/>
        <w:rPr>
          <w:lang w:val="sr-Cyrl-CS"/>
        </w:rPr>
      </w:pPr>
      <w:r w:rsidRPr="00523472">
        <w:rPr>
          <w:lang w:val="sr-Cyrl-CS"/>
        </w:rPr>
        <w:t xml:space="preserve">-при извођењу радова који изискују раскопавање коловоза и тротоара по </w:t>
      </w:r>
      <w:r w:rsidRPr="00523472">
        <w:rPr>
          <w:lang w:val="sr-Cyrl-RS"/>
        </w:rPr>
        <w:t>м</w:t>
      </w:r>
      <w:r w:rsidRPr="00523472">
        <w:rPr>
          <w:vertAlign w:val="superscript"/>
          <w:lang w:val="sr-Cyrl-CS"/>
        </w:rPr>
        <w:t>2</w:t>
      </w:r>
      <w:r w:rsidRPr="00523472">
        <w:rPr>
          <w:lang w:val="sr-Cyrl-CS"/>
        </w:rPr>
        <w:t xml:space="preserve">....... </w:t>
      </w:r>
      <w:r w:rsidRPr="00523472">
        <w:rPr>
          <w:lang w:val="sr-Latn-RS"/>
        </w:rPr>
        <w:t>203,95</w:t>
      </w:r>
      <w:r w:rsidRPr="00523472">
        <w:rPr>
          <w:lang w:val="sr-Cyrl-CS"/>
        </w:rPr>
        <w:t xml:space="preserve"> дин</w:t>
      </w:r>
    </w:p>
    <w:p w:rsidR="00B25059" w:rsidRPr="00523472" w:rsidRDefault="00B25059" w:rsidP="00B25059">
      <w:pPr>
        <w:ind w:firstLine="720"/>
        <w:jc w:val="both"/>
      </w:pPr>
      <w:r w:rsidRPr="00523472">
        <w:t xml:space="preserve">Накнада се обрачунава на месечном нивоу, на основу акта организационе јединице </w:t>
      </w:r>
      <w:r w:rsidRPr="00523472">
        <w:rPr>
          <w:lang w:val="sr-Cyrl-RS"/>
        </w:rPr>
        <w:t>Градске</w:t>
      </w:r>
      <w:r w:rsidRPr="00523472">
        <w:t xml:space="preserve"> управе надлежне за урбанизам и имовинско правне послове.</w:t>
      </w:r>
    </w:p>
    <w:p w:rsidR="00B25059" w:rsidRPr="00523472" w:rsidRDefault="00B25059" w:rsidP="00B25059">
      <w:pPr>
        <w:ind w:firstLine="720"/>
        <w:jc w:val="both"/>
      </w:pPr>
      <w:r w:rsidRPr="00523472">
        <w:t>УВЕЋАЊЕ НАКНАДЕ:</w:t>
      </w:r>
    </w:p>
    <w:p w:rsidR="00B25059" w:rsidRPr="00523472" w:rsidRDefault="00B25059" w:rsidP="00B25059">
      <w:pPr>
        <w:ind w:firstLine="720"/>
        <w:jc w:val="both"/>
      </w:pPr>
      <w:r w:rsidRPr="00523472">
        <w:t>Накнада из става 1.овог члана увећава се за 100% ако инвеститор продужи дозвољени рок заузимања јавне површине. Под продужењем рока, подразумева се прекорачење рока завршетка изградње евидентираног у писменој изјави инвеститора о почетку грађења, одн.извођења радова и року завршетка грађења, одн.извођења радова према Закону о планирању и изградњи.</w:t>
      </w:r>
    </w:p>
    <w:p w:rsidR="00B25059" w:rsidRPr="00523472" w:rsidRDefault="00B25059" w:rsidP="00B25059">
      <w:pPr>
        <w:ind w:firstLine="720"/>
        <w:jc w:val="both"/>
      </w:pPr>
      <w:r w:rsidRPr="00523472">
        <w:t>ОСЛОБАЂАЊЕ ПЛАЋАЊА</w:t>
      </w:r>
    </w:p>
    <w:p w:rsidR="00B25059" w:rsidRPr="00523472" w:rsidRDefault="00B25059" w:rsidP="00B25059">
      <w:pPr>
        <w:jc w:val="both"/>
        <w:rPr>
          <w:lang w:val="sr-Cyrl-CS"/>
        </w:rPr>
      </w:pPr>
      <w:r w:rsidRPr="00523472">
        <w:rPr>
          <w:lang w:val="sr-Cyrl-CS"/>
        </w:rPr>
        <w:lastRenderedPageBreak/>
        <w:tab/>
        <w:t>Накнада из става 1.овог Тар.бр. се не плаћа ако се раскопавање, одн.заузимање јавне површине врши због изградње, реконструкције коловоза, тротоара или друге саобраћајне површине, као и приликом извођења радова јавних комуналних предузећа у сврху довођења објекта у функцију. Под довођењем објекта у функцију подразумевају се радови на текућем (редовном) одржавању објекта, за које се издаје одобрење по Закону о планирању и изградњи.</w:t>
      </w:r>
    </w:p>
    <w:p w:rsidR="00B25059" w:rsidRPr="00523472" w:rsidRDefault="00B25059" w:rsidP="00B25059">
      <w:pPr>
        <w:jc w:val="both"/>
      </w:pPr>
    </w:p>
    <w:p w:rsidR="00B25059" w:rsidRPr="00523472" w:rsidRDefault="00B25059" w:rsidP="00B25059">
      <w:pPr>
        <w:spacing w:line="0" w:lineRule="atLeast"/>
        <w:rPr>
          <w:color w:val="000000" w:themeColor="text1"/>
          <w:lang w:val="sr-Cyrl-RS"/>
        </w:rPr>
      </w:pPr>
    </w:p>
    <w:p w:rsidR="00B25059" w:rsidRPr="00523472" w:rsidRDefault="00B25059" w:rsidP="00B25059">
      <w:pPr>
        <w:pStyle w:val="NoSpacing"/>
        <w:rPr>
          <w:rFonts w:ascii="Times New Roman" w:hAnsi="Times New Roman"/>
          <w:noProof/>
          <w:sz w:val="24"/>
          <w:szCs w:val="24"/>
          <w:lang w:val="sr-Latn-RS"/>
        </w:rPr>
      </w:pPr>
    </w:p>
    <w:p w:rsidR="00B25059" w:rsidRPr="00523472" w:rsidRDefault="00B25059" w:rsidP="00B25059">
      <w:pPr>
        <w:pStyle w:val="Default"/>
        <w:jc w:val="both"/>
        <w:rPr>
          <w:rFonts w:ascii="Times New Roman" w:hAnsi="Times New Roman" w:cs="Times New Roman"/>
          <w:lang w:val="sr-Cyrl-RS"/>
        </w:rPr>
      </w:pPr>
    </w:p>
    <w:p w:rsidR="00B25059" w:rsidRPr="00523472" w:rsidRDefault="00B25059" w:rsidP="00B25059">
      <w:pPr>
        <w:pStyle w:val="Default"/>
        <w:jc w:val="both"/>
        <w:rPr>
          <w:rFonts w:ascii="Times New Roman" w:hAnsi="Times New Roman" w:cs="Times New Roman"/>
          <w:lang w:val="sr-Cyrl-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B25059" w:rsidRDefault="00B25059" w:rsidP="00B25059">
      <w:pPr>
        <w:pStyle w:val="Default"/>
        <w:jc w:val="both"/>
        <w:rPr>
          <w:rFonts w:ascii="Times New Roman" w:hAnsi="Times New Roman" w:cs="Times New Roman"/>
          <w:lang w:val="sr-Latn-RS"/>
        </w:rPr>
      </w:pPr>
    </w:p>
    <w:p w:rsidR="005C06FD" w:rsidRDefault="005C06FD"/>
    <w:sectPr w:rsidR="005C06FD" w:rsidSect="00B25059">
      <w:pgSz w:w="11906" w:h="16838"/>
      <w:pgMar w:top="1440" w:right="746"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59"/>
    <w:rsid w:val="003A4127"/>
    <w:rsid w:val="005C06FD"/>
    <w:rsid w:val="00B25059"/>
    <w:rsid w:val="00C11AF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B25059"/>
    <w:pPr>
      <w:ind w:left="720"/>
      <w:contextualSpacing/>
    </w:pPr>
  </w:style>
  <w:style w:type="paragraph" w:styleId="NoSpacing">
    <w:name w:val="No Spacing"/>
    <w:uiPriority w:val="1"/>
    <w:qFormat/>
    <w:rsid w:val="00B25059"/>
    <w:pPr>
      <w:spacing w:after="0" w:line="240" w:lineRule="auto"/>
    </w:pPr>
    <w:rPr>
      <w:rFonts w:ascii="Calibri" w:eastAsia="Calibri" w:hAnsi="Calibri" w:cs="Times New Roman"/>
      <w:lang w:val="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B25059"/>
    <w:rPr>
      <w:rFonts w:ascii="Times New Roman" w:eastAsia="Times New Roman" w:hAnsi="Times New Roman" w:cs="Times New Roman"/>
      <w:sz w:val="24"/>
      <w:szCs w:val="24"/>
      <w:lang w:val="en-US"/>
    </w:rPr>
  </w:style>
  <w:style w:type="paragraph" w:customStyle="1" w:styleId="Default">
    <w:name w:val="Default"/>
    <w:rsid w:val="00B2505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
    <w:name w:val="Heading #1_"/>
    <w:link w:val="Heading10"/>
    <w:rsid w:val="00B25059"/>
    <w:rPr>
      <w:b/>
      <w:bCs/>
      <w:spacing w:val="6"/>
      <w:sz w:val="21"/>
      <w:szCs w:val="21"/>
      <w:shd w:val="clear" w:color="auto" w:fill="FFFFFF"/>
    </w:rPr>
  </w:style>
  <w:style w:type="character" w:customStyle="1" w:styleId="Heading1Spacing3pt">
    <w:name w:val="Heading #1 + Spacing 3 pt"/>
    <w:rsid w:val="00B25059"/>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0">
    <w:name w:val="Heading #1"/>
    <w:basedOn w:val="Normal"/>
    <w:link w:val="Heading1"/>
    <w:rsid w:val="00B25059"/>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lang w:val="sr-Cyrl-RS"/>
    </w:rPr>
  </w:style>
  <w:style w:type="paragraph" w:styleId="BalloonText">
    <w:name w:val="Balloon Text"/>
    <w:basedOn w:val="Normal"/>
    <w:link w:val="BalloonTextChar"/>
    <w:uiPriority w:val="99"/>
    <w:semiHidden/>
    <w:unhideWhenUsed/>
    <w:rsid w:val="00B25059"/>
    <w:rPr>
      <w:rFonts w:ascii="Tahoma" w:hAnsi="Tahoma" w:cs="Tahoma"/>
      <w:sz w:val="16"/>
      <w:szCs w:val="16"/>
    </w:rPr>
  </w:style>
  <w:style w:type="character" w:customStyle="1" w:styleId="BalloonTextChar">
    <w:name w:val="Balloon Text Char"/>
    <w:basedOn w:val="DefaultParagraphFont"/>
    <w:link w:val="BalloonText"/>
    <w:uiPriority w:val="99"/>
    <w:semiHidden/>
    <w:rsid w:val="00B2505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B25059"/>
    <w:pPr>
      <w:ind w:left="720"/>
      <w:contextualSpacing/>
    </w:pPr>
  </w:style>
  <w:style w:type="paragraph" w:styleId="NoSpacing">
    <w:name w:val="No Spacing"/>
    <w:uiPriority w:val="1"/>
    <w:qFormat/>
    <w:rsid w:val="00B25059"/>
    <w:pPr>
      <w:spacing w:after="0" w:line="240" w:lineRule="auto"/>
    </w:pPr>
    <w:rPr>
      <w:rFonts w:ascii="Calibri" w:eastAsia="Calibri" w:hAnsi="Calibri" w:cs="Times New Roman"/>
      <w:lang w:val="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B25059"/>
    <w:rPr>
      <w:rFonts w:ascii="Times New Roman" w:eastAsia="Times New Roman" w:hAnsi="Times New Roman" w:cs="Times New Roman"/>
      <w:sz w:val="24"/>
      <w:szCs w:val="24"/>
      <w:lang w:val="en-US"/>
    </w:rPr>
  </w:style>
  <w:style w:type="paragraph" w:customStyle="1" w:styleId="Default">
    <w:name w:val="Default"/>
    <w:rsid w:val="00B2505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
    <w:name w:val="Heading #1_"/>
    <w:link w:val="Heading10"/>
    <w:rsid w:val="00B25059"/>
    <w:rPr>
      <w:b/>
      <w:bCs/>
      <w:spacing w:val="6"/>
      <w:sz w:val="21"/>
      <w:szCs w:val="21"/>
      <w:shd w:val="clear" w:color="auto" w:fill="FFFFFF"/>
    </w:rPr>
  </w:style>
  <w:style w:type="character" w:customStyle="1" w:styleId="Heading1Spacing3pt">
    <w:name w:val="Heading #1 + Spacing 3 pt"/>
    <w:rsid w:val="00B25059"/>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0">
    <w:name w:val="Heading #1"/>
    <w:basedOn w:val="Normal"/>
    <w:link w:val="Heading1"/>
    <w:rsid w:val="00B25059"/>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lang w:val="sr-Cyrl-RS"/>
    </w:rPr>
  </w:style>
  <w:style w:type="paragraph" w:styleId="BalloonText">
    <w:name w:val="Balloon Text"/>
    <w:basedOn w:val="Normal"/>
    <w:link w:val="BalloonTextChar"/>
    <w:uiPriority w:val="99"/>
    <w:semiHidden/>
    <w:unhideWhenUsed/>
    <w:rsid w:val="00B25059"/>
    <w:rPr>
      <w:rFonts w:ascii="Tahoma" w:hAnsi="Tahoma" w:cs="Tahoma"/>
      <w:sz w:val="16"/>
      <w:szCs w:val="16"/>
    </w:rPr>
  </w:style>
  <w:style w:type="character" w:customStyle="1" w:styleId="BalloonTextChar">
    <w:name w:val="Balloon Text Char"/>
    <w:basedOn w:val="DefaultParagraphFont"/>
    <w:link w:val="BalloonText"/>
    <w:uiPriority w:val="99"/>
    <w:semiHidden/>
    <w:rsid w:val="00B2505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Zorica Milivojević</cp:lastModifiedBy>
  <cp:revision>2</cp:revision>
  <cp:lastPrinted>2024-12-09T13:16:00Z</cp:lastPrinted>
  <dcterms:created xsi:type="dcterms:W3CDTF">2024-12-11T10:00:00Z</dcterms:created>
  <dcterms:modified xsi:type="dcterms:W3CDTF">2024-12-11T10:00:00Z</dcterms:modified>
</cp:coreProperties>
</file>